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4BE64" w14:textId="77777777" w:rsidR="001E7CD5" w:rsidRPr="00891A9B" w:rsidRDefault="00007042" w:rsidP="00FE7163">
      <w:pPr>
        <w:pStyle w:val="Titolodocumento"/>
        <w:framePr w:wrap="around"/>
        <w:rPr>
          <w:rFonts w:ascii="Times New Roman" w:hAnsi="Times New Roman" w:cs="Times New Roman"/>
          <w:color w:val="auto"/>
        </w:rPr>
      </w:pPr>
      <w:bookmarkStart w:id="0" w:name="_Toc3899811"/>
      <w:bookmarkStart w:id="1" w:name="_Toc38449589"/>
      <w:bookmarkStart w:id="2" w:name="_Toc38466973"/>
      <w:r w:rsidRPr="00891A9B">
        <w:rPr>
          <w:rFonts w:ascii="Times New Roman" w:hAnsi="Times New Roman" w:cs="Times New Roman"/>
          <w:color w:val="auto"/>
        </w:rPr>
        <w:t>Attuazione delle politiche di remunerazione</w:t>
      </w:r>
      <w:bookmarkEnd w:id="0"/>
      <w:bookmarkEnd w:id="1"/>
      <w:bookmarkEnd w:id="2"/>
      <w:r w:rsidRPr="00891A9B">
        <w:rPr>
          <w:rFonts w:ascii="Times New Roman" w:hAnsi="Times New Roman" w:cs="Times New Roman"/>
          <w:color w:val="auto"/>
        </w:rPr>
        <w:t xml:space="preserve"> </w:t>
      </w:r>
    </w:p>
    <w:p w14:paraId="14BF2CFD" w14:textId="7C36873A" w:rsidR="00653413" w:rsidRPr="00891A9B" w:rsidRDefault="002C50FE" w:rsidP="00FE7163">
      <w:pPr>
        <w:pStyle w:val="Titolodocumento"/>
        <w:framePr w:wrap="around"/>
        <w:rPr>
          <w:rFonts w:ascii="Times New Roman" w:hAnsi="Times New Roman" w:cs="Times New Roman"/>
          <w:color w:val="auto"/>
        </w:rPr>
      </w:pPr>
      <w:bookmarkStart w:id="3" w:name="_Toc38449590"/>
      <w:bookmarkStart w:id="4" w:name="_Toc38466974"/>
      <w:r w:rsidRPr="00891A9B">
        <w:rPr>
          <w:rFonts w:ascii="Times New Roman" w:hAnsi="Times New Roman" w:cs="Times New Roman"/>
          <w:color w:val="auto"/>
        </w:rPr>
        <w:t>2019</w:t>
      </w:r>
      <w:bookmarkEnd w:id="3"/>
      <w:bookmarkEnd w:id="4"/>
    </w:p>
    <w:p w14:paraId="59F9B09C" w14:textId="77777777" w:rsidR="00C312FF" w:rsidRPr="00891A9B" w:rsidRDefault="00C312FF" w:rsidP="00653413">
      <w:pPr>
        <w:pStyle w:val="Titolodocumento"/>
        <w:framePr w:wrap="around"/>
        <w:rPr>
          <w:rFonts w:ascii="Times New Roman" w:hAnsi="Times New Roman" w:cs="Times New Roman"/>
          <w:color w:val="auto"/>
        </w:rPr>
      </w:pPr>
      <w:bookmarkStart w:id="5" w:name="_Toc3899813"/>
      <w:bookmarkStart w:id="6" w:name="_Toc38449591"/>
      <w:bookmarkStart w:id="7" w:name="_Toc38466975"/>
      <w:r w:rsidRPr="00891A9B">
        <w:rPr>
          <w:rFonts w:ascii="Times New Roman" w:hAnsi="Times New Roman" w:cs="Times New Roman"/>
          <w:color w:val="auto"/>
        </w:rPr>
        <w:t>B.C.C. del CIRCEO E</w:t>
      </w:r>
      <w:bookmarkEnd w:id="5"/>
      <w:bookmarkEnd w:id="6"/>
      <w:bookmarkEnd w:id="7"/>
    </w:p>
    <w:p w14:paraId="052D99B1" w14:textId="185894CF" w:rsidR="00653413" w:rsidRPr="00891A9B" w:rsidRDefault="00C312FF" w:rsidP="00653413">
      <w:pPr>
        <w:pStyle w:val="Titolodocumento"/>
        <w:framePr w:wrap="around"/>
        <w:rPr>
          <w:rFonts w:ascii="Times New Roman" w:hAnsi="Times New Roman" w:cs="Times New Roman"/>
          <w:color w:val="auto"/>
        </w:rPr>
      </w:pPr>
      <w:r w:rsidRPr="00891A9B">
        <w:rPr>
          <w:rFonts w:ascii="Times New Roman" w:hAnsi="Times New Roman" w:cs="Times New Roman"/>
          <w:color w:val="auto"/>
        </w:rPr>
        <w:t>PRIVERNATE</w:t>
      </w:r>
      <w:r w:rsidR="00653413" w:rsidRPr="00891A9B">
        <w:rPr>
          <w:rFonts w:ascii="Times New Roman" w:hAnsi="Times New Roman" w:cs="Times New Roman"/>
          <w:color w:val="auto"/>
        </w:rPr>
        <w:t xml:space="preserve"> </w:t>
      </w:r>
    </w:p>
    <w:p w14:paraId="416DC79F" w14:textId="7620DC89" w:rsidR="00DA2FDF" w:rsidRPr="00891A9B" w:rsidRDefault="00DA2FDF" w:rsidP="00C312FF">
      <w:pPr>
        <w:pStyle w:val="Approvazione-data"/>
        <w:framePr w:wrap="around"/>
        <w:jc w:val="left"/>
        <w:rPr>
          <w:rFonts w:ascii="Times New Roman" w:hAnsi="Times New Roman" w:cs="Times New Roman"/>
          <w:color w:val="auto"/>
        </w:rPr>
      </w:pPr>
      <w:bookmarkStart w:id="8" w:name="_Toc3899814"/>
      <w:bookmarkStart w:id="9" w:name="_Toc38449592"/>
      <w:bookmarkStart w:id="10" w:name="_Toc38466976"/>
      <w:r w:rsidRPr="00891A9B">
        <w:rPr>
          <w:rFonts w:ascii="Times New Roman" w:hAnsi="Times New Roman" w:cs="Times New Roman"/>
          <w:color w:val="auto"/>
        </w:rPr>
        <w:t>Approvato da</w:t>
      </w:r>
      <w:r w:rsidR="00891A9B">
        <w:rPr>
          <w:rFonts w:ascii="Times New Roman" w:hAnsi="Times New Roman" w:cs="Times New Roman"/>
          <w:color w:val="auto"/>
        </w:rPr>
        <w:t>l</w:t>
      </w:r>
      <w:r w:rsidR="00C312FF" w:rsidRPr="00891A9B">
        <w:rPr>
          <w:rFonts w:ascii="Times New Roman" w:hAnsi="Times New Roman" w:cs="Times New Roman"/>
          <w:color w:val="auto"/>
        </w:rPr>
        <w:t xml:space="preserve"> Consiglio di Ammi</w:t>
      </w:r>
      <w:r w:rsidR="00891A9B">
        <w:rPr>
          <w:rFonts w:ascii="Times New Roman" w:hAnsi="Times New Roman" w:cs="Times New Roman"/>
          <w:color w:val="auto"/>
        </w:rPr>
        <w:t>n</w:t>
      </w:r>
      <w:r w:rsidR="00C312FF" w:rsidRPr="00891A9B">
        <w:rPr>
          <w:rFonts w:ascii="Times New Roman" w:hAnsi="Times New Roman" w:cs="Times New Roman"/>
          <w:color w:val="auto"/>
        </w:rPr>
        <w:t>istrazione</w:t>
      </w:r>
      <w:bookmarkEnd w:id="8"/>
      <w:bookmarkEnd w:id="9"/>
      <w:bookmarkEnd w:id="10"/>
    </w:p>
    <w:p w14:paraId="2B8FF651" w14:textId="0DC08C55" w:rsidR="00DA2FDF" w:rsidRPr="00891A9B" w:rsidRDefault="00DA2FDF" w:rsidP="00C312FF">
      <w:pPr>
        <w:pStyle w:val="Approvazione-data"/>
        <w:framePr w:wrap="around"/>
        <w:jc w:val="left"/>
        <w:rPr>
          <w:rFonts w:ascii="Times New Roman" w:hAnsi="Times New Roman" w:cs="Times New Roman"/>
          <w:color w:val="auto"/>
        </w:rPr>
      </w:pPr>
      <w:bookmarkStart w:id="11" w:name="_Toc3899815"/>
      <w:bookmarkStart w:id="12" w:name="_Toc38449593"/>
      <w:bookmarkStart w:id="13" w:name="_Toc38466977"/>
      <w:r w:rsidRPr="00891A9B">
        <w:rPr>
          <w:rFonts w:ascii="Times New Roman" w:hAnsi="Times New Roman" w:cs="Times New Roman"/>
          <w:color w:val="auto"/>
        </w:rPr>
        <w:t xml:space="preserve">Data </w:t>
      </w:r>
      <w:bookmarkEnd w:id="11"/>
      <w:bookmarkEnd w:id="12"/>
      <w:bookmarkEnd w:id="13"/>
      <w:r w:rsidR="00C312FF" w:rsidRPr="00891A9B">
        <w:rPr>
          <w:rFonts w:ascii="Times New Roman" w:hAnsi="Times New Roman" w:cs="Times New Roman"/>
          <w:color w:val="auto"/>
        </w:rPr>
        <w:t>21/05/2020</w:t>
      </w:r>
    </w:p>
    <w:p w14:paraId="354EEBA7" w14:textId="5DDAE59E" w:rsidR="00EB3CD3" w:rsidRDefault="00EB3CD3" w:rsidP="00EB3CD3">
      <w:pPr>
        <w:pStyle w:val="Titolosommario"/>
      </w:pPr>
    </w:p>
    <w:sdt>
      <w:sdtPr>
        <w:rPr>
          <w:rFonts w:eastAsiaTheme="minorEastAsia" w:cs="Arial"/>
          <w:b w:val="0"/>
          <w:bCs w:val="0"/>
          <w:color w:val="454545" w:themeColor="text1"/>
          <w:sz w:val="22"/>
          <w:szCs w:val="21"/>
        </w:rPr>
        <w:id w:val="82510262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color w:val="auto"/>
        </w:rPr>
      </w:sdtEndPr>
      <w:sdtContent>
        <w:p w14:paraId="2DEC420F" w14:textId="27C114FD" w:rsidR="001311FC" w:rsidRPr="007A17DE" w:rsidRDefault="001311FC" w:rsidP="007A17DE">
          <w:pPr>
            <w:pStyle w:val="Titolosommario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A17DE">
            <w:rPr>
              <w:rFonts w:ascii="Times New Roman" w:hAnsi="Times New Roman" w:cs="Times New Roman"/>
              <w:color w:val="auto"/>
              <w:sz w:val="24"/>
              <w:szCs w:val="24"/>
            </w:rPr>
            <w:t>Sommario</w:t>
          </w:r>
        </w:p>
        <w:p w14:paraId="7CE4A140" w14:textId="2CD6DF54" w:rsidR="00765181" w:rsidRPr="007A17DE" w:rsidRDefault="001311FC" w:rsidP="007A17DE">
          <w:pPr>
            <w:pStyle w:val="Sommario1"/>
            <w:tabs>
              <w:tab w:val="right" w:pos="10480"/>
            </w:tabs>
            <w:spacing w:before="0" w:after="0" w:line="240" w:lineRule="auto"/>
            <w:rPr>
              <w:rFonts w:ascii="Times New Roman" w:hAnsi="Times New Roman" w:cs="Times New Roman"/>
              <w:b w:val="0"/>
              <w:bCs w:val="0"/>
              <w:noProof/>
              <w:color w:val="auto"/>
              <w:sz w:val="24"/>
              <w:szCs w:val="24"/>
            </w:rPr>
          </w:pPr>
          <w:r w:rsidRPr="007A17DE"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  <w:fldChar w:fldCharType="begin"/>
          </w:r>
          <w:r w:rsidRPr="007A17DE">
            <w:rPr>
              <w:rFonts w:ascii="Times New Roman" w:hAnsi="Times New Roman" w:cs="Times New Roman"/>
              <w:color w:val="auto"/>
              <w:sz w:val="24"/>
              <w:szCs w:val="24"/>
            </w:rPr>
            <w:instrText>TOC \o "1-3" \h \z \u</w:instrText>
          </w:r>
          <w:r w:rsidRPr="007A17DE"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  <w:fldChar w:fldCharType="separate"/>
          </w:r>
          <w:hyperlink w:anchor="_Toc38466978" w:history="1">
            <w:r w:rsidR="00765181" w:rsidRPr="007A17DE">
              <w:rPr>
                <w:rStyle w:val="Collegamentoipertestual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 Attuazione delle politiche in materia di remunerazione</w:t>
            </w:r>
            <w:r w:rsidR="00765181" w:rsidRPr="007A17D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765181" w:rsidRPr="007A17D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765181" w:rsidRPr="007A17D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_Toc38466978 \h </w:instrText>
            </w:r>
            <w:r w:rsidR="00765181" w:rsidRPr="007A17D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765181" w:rsidRPr="007A17D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91A9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 w:rsidR="00765181" w:rsidRPr="007A17D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A0B02D8" w14:textId="3B23F5FF" w:rsidR="00765181" w:rsidRPr="007A17DE" w:rsidRDefault="00891A9B" w:rsidP="007A17DE">
          <w:pPr>
            <w:pStyle w:val="Sommario1"/>
            <w:tabs>
              <w:tab w:val="right" w:pos="10480"/>
            </w:tabs>
            <w:spacing w:before="0" w:after="0" w:line="240" w:lineRule="auto"/>
            <w:rPr>
              <w:rFonts w:ascii="Times New Roman" w:hAnsi="Times New Roman" w:cs="Times New Roman"/>
              <w:b w:val="0"/>
              <w:bCs w:val="0"/>
              <w:noProof/>
              <w:color w:val="auto"/>
              <w:sz w:val="24"/>
              <w:szCs w:val="24"/>
            </w:rPr>
          </w:pPr>
          <w:hyperlink w:anchor="_Toc38466979" w:history="1">
            <w:r w:rsidR="00765181" w:rsidRPr="007A17DE">
              <w:rPr>
                <w:rStyle w:val="Collegamentoipertestual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 Informazioni sulle remunerazioni</w:t>
            </w:r>
            <w:r w:rsidR="00765181" w:rsidRPr="007A17D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765181" w:rsidRPr="007A17D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765181" w:rsidRPr="007A17D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_Toc38466979 \h </w:instrText>
            </w:r>
            <w:r w:rsidR="00765181" w:rsidRPr="007A17D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765181" w:rsidRPr="007A17D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765181" w:rsidRPr="007A17D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378F634" w14:textId="0C8E0AF0" w:rsidR="00765181" w:rsidRPr="007A17DE" w:rsidRDefault="00891A9B" w:rsidP="007A17DE">
          <w:pPr>
            <w:pStyle w:val="Sommario1"/>
            <w:tabs>
              <w:tab w:val="right" w:pos="10480"/>
            </w:tabs>
            <w:spacing w:before="0" w:after="0" w:line="240" w:lineRule="auto"/>
            <w:rPr>
              <w:rFonts w:ascii="Times New Roman" w:hAnsi="Times New Roman" w:cs="Times New Roman"/>
              <w:b w:val="0"/>
              <w:bCs w:val="0"/>
              <w:noProof/>
              <w:color w:val="auto"/>
              <w:sz w:val="24"/>
              <w:szCs w:val="24"/>
            </w:rPr>
          </w:pPr>
          <w:hyperlink w:anchor="_Toc38466980" w:history="1">
            <w:r w:rsidR="00765181" w:rsidRPr="007A17DE">
              <w:rPr>
                <w:rStyle w:val="Collegamentoipertestual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 Informativa quantitativa</w:t>
            </w:r>
            <w:r w:rsidR="00765181" w:rsidRPr="007A17D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765181" w:rsidRPr="007A17D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765181" w:rsidRPr="007A17D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_Toc38466980 \h </w:instrText>
            </w:r>
            <w:r w:rsidR="00765181" w:rsidRPr="007A17D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765181" w:rsidRPr="007A17D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8</w:t>
            </w:r>
            <w:r w:rsidR="00765181" w:rsidRPr="007A17D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B6A3B8D" w14:textId="20B8646D" w:rsidR="001311FC" w:rsidRPr="007A17DE" w:rsidRDefault="001311FC" w:rsidP="007A17DE">
          <w:pPr>
            <w:spacing w:after="0" w:line="240" w:lineRule="auto"/>
            <w:rPr>
              <w:rFonts w:ascii="Times New Roman" w:hAnsi="Times New Roman" w:cs="Times New Roman"/>
              <w:color w:val="auto"/>
            </w:rPr>
          </w:pPr>
          <w:r w:rsidRPr="007A17DE">
            <w:rPr>
              <w:rFonts w:ascii="Times New Roman" w:hAnsi="Times New Roman" w:cs="Times New Roman"/>
              <w:b/>
              <w:bCs/>
              <w:noProof/>
              <w:color w:val="auto"/>
              <w:sz w:val="24"/>
              <w:szCs w:val="24"/>
            </w:rPr>
            <w:fldChar w:fldCharType="end"/>
          </w:r>
        </w:p>
      </w:sdtContent>
    </w:sdt>
    <w:p w14:paraId="34581C7A" w14:textId="0DB3EBFB" w:rsidR="0068673A" w:rsidRPr="007A17DE" w:rsidRDefault="001B2D6B" w:rsidP="007A17DE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jc w:val="left"/>
        <w:rPr>
          <w:rFonts w:ascii="Times New Roman" w:hAnsi="Times New Roman" w:cs="Times New Roman"/>
          <w:b/>
          <w:color w:val="auto"/>
          <w:sz w:val="32"/>
          <w:szCs w:val="36"/>
        </w:rPr>
      </w:pPr>
      <w:r w:rsidRPr="007A17DE">
        <w:rPr>
          <w:rFonts w:ascii="Times New Roman" w:hAnsi="Times New Roman" w:cs="Times New Roman"/>
          <w:color w:val="auto"/>
        </w:rPr>
        <w:br w:type="page"/>
      </w:r>
    </w:p>
    <w:p w14:paraId="1AE89641" w14:textId="28E6ABC3" w:rsidR="00551770" w:rsidRPr="008F1D13" w:rsidRDefault="009A6DDE" w:rsidP="007A17DE">
      <w:pPr>
        <w:pStyle w:val="Titolo1"/>
        <w:spacing w:before="0" w:after="0"/>
        <w:rPr>
          <w:rFonts w:ascii="Times New Roman" w:hAnsi="Times New Roman" w:cs="Times New Roman"/>
          <w:color w:val="auto"/>
          <w:sz w:val="36"/>
        </w:rPr>
      </w:pPr>
      <w:bookmarkStart w:id="14" w:name="_Toc38466978"/>
      <w:r w:rsidRPr="008F1D13">
        <w:rPr>
          <w:rFonts w:ascii="Times New Roman" w:hAnsi="Times New Roman" w:cs="Times New Roman"/>
          <w:color w:val="auto"/>
          <w:sz w:val="36"/>
        </w:rPr>
        <w:t>1</w:t>
      </w:r>
      <w:r w:rsidR="00FE7163" w:rsidRPr="008F1D13">
        <w:rPr>
          <w:rFonts w:ascii="Times New Roman" w:hAnsi="Times New Roman" w:cs="Times New Roman"/>
          <w:color w:val="auto"/>
          <w:sz w:val="36"/>
        </w:rPr>
        <w:t xml:space="preserve">. </w:t>
      </w:r>
      <w:r w:rsidR="00007042" w:rsidRPr="008F1D13">
        <w:rPr>
          <w:rFonts w:ascii="Times New Roman" w:hAnsi="Times New Roman" w:cs="Times New Roman"/>
          <w:color w:val="auto"/>
          <w:sz w:val="36"/>
        </w:rPr>
        <w:t>Attuazione delle politiche in materia di remunerazione</w:t>
      </w:r>
      <w:bookmarkEnd w:id="14"/>
      <w:r w:rsidR="00007042" w:rsidRPr="008F1D13">
        <w:rPr>
          <w:rFonts w:ascii="Times New Roman" w:hAnsi="Times New Roman" w:cs="Times New Roman"/>
          <w:color w:val="auto"/>
          <w:sz w:val="36"/>
        </w:rPr>
        <w:t xml:space="preserve"> </w:t>
      </w:r>
    </w:p>
    <w:p w14:paraId="71F67D77" w14:textId="77777777" w:rsidR="007A17DE" w:rsidRDefault="007A17DE" w:rsidP="007A17DE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14:paraId="18A2A0BC" w14:textId="7F621CC4" w:rsidR="00FB13E9" w:rsidRPr="004B0196" w:rsidRDefault="00FB13E9" w:rsidP="007A17DE">
      <w:pPr>
        <w:spacing w:after="0" w:line="240" w:lineRule="auto"/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A partire dal 1° gennaio 2019, la Banca</w:t>
      </w:r>
      <w:r w:rsidR="00C312FF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di Credito Cooperativo del Circeo e Privernate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è affiliata al Gruppo Bancario Cooperativo Cassa Centrale Banca. La Politica di remunerazione 2019 della Banca è stata definita dal Consiglio di Amministrazione della Banca nel rispetto delle indicazioni definite dalle Politiche di Gruppo e delle linee guida emanate dalla Capogruppo, è stata approvata dall’Assemblea Ordinaria dei Soci in data </w:t>
      </w:r>
      <w:r w:rsidRPr="004B0196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gg mm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2019 e resa disponibile sul sito internet </w:t>
      </w:r>
      <w:hyperlink r:id="rId8" w:history="1">
        <w:r w:rsidR="00C312FF" w:rsidRPr="004B0196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www.bccc.it</w:t>
        </w:r>
      </w:hyperlink>
      <w:r w:rsidRPr="004B0196"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0A1982DB" w14:textId="4C48FE1A" w:rsidR="00C03209" w:rsidRPr="004B0196" w:rsidRDefault="00C03209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C877BF" w:rsidRPr="004B0196">
        <w:rPr>
          <w:rFonts w:ascii="Times New Roman" w:hAnsi="Times New Roman" w:cs="Times New Roman"/>
          <w:color w:val="auto"/>
          <w:sz w:val="24"/>
          <w:szCs w:val="24"/>
        </w:rPr>
        <w:t>e funzioni Risorse Um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ane</w:t>
      </w:r>
      <w:r w:rsidR="003B68ED" w:rsidRPr="004B01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77BF" w:rsidRPr="004B0196">
        <w:rPr>
          <w:rFonts w:ascii="Times New Roman" w:hAnsi="Times New Roman" w:cs="Times New Roman"/>
          <w:color w:val="auto"/>
          <w:sz w:val="24"/>
          <w:szCs w:val="24"/>
        </w:rPr>
        <w:t>Pianificazione e Controllo</w:t>
      </w:r>
      <w:r w:rsidR="003B68ED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e i referenti </w:t>
      </w:r>
      <w:proofErr w:type="spellStart"/>
      <w:r w:rsidR="00E51A7E" w:rsidRPr="004B0196">
        <w:rPr>
          <w:rFonts w:ascii="Times New Roman" w:hAnsi="Times New Roman" w:cs="Times New Roman"/>
          <w:color w:val="auto"/>
          <w:sz w:val="24"/>
          <w:szCs w:val="24"/>
        </w:rPr>
        <w:t>Ri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sk</w:t>
      </w:r>
      <w:proofErr w:type="spellEnd"/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Management e </w:t>
      </w:r>
      <w:proofErr w:type="spellStart"/>
      <w:r w:rsidRPr="004B0196">
        <w:rPr>
          <w:rFonts w:ascii="Times New Roman" w:hAnsi="Times New Roman" w:cs="Times New Roman"/>
          <w:color w:val="auto"/>
          <w:sz w:val="24"/>
          <w:szCs w:val="24"/>
        </w:rPr>
        <w:t>Compliance</w:t>
      </w:r>
      <w:proofErr w:type="spellEnd"/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77BF" w:rsidRPr="004B0196">
        <w:rPr>
          <w:rFonts w:ascii="Times New Roman" w:hAnsi="Times New Roman" w:cs="Times New Roman"/>
          <w:color w:val="auto"/>
          <w:sz w:val="24"/>
          <w:szCs w:val="24"/>
        </w:rPr>
        <w:t>hanno collaborato, ciascun</w:t>
      </w:r>
      <w:r w:rsidR="003B68ED" w:rsidRPr="004B019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C877BF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per la propri</w:t>
      </w:r>
      <w:r w:rsidR="001E7CD5" w:rsidRPr="004B0196">
        <w:rPr>
          <w:rFonts w:ascii="Times New Roman" w:hAnsi="Times New Roman" w:cs="Times New Roman"/>
          <w:color w:val="auto"/>
          <w:sz w:val="24"/>
          <w:szCs w:val="24"/>
        </w:rPr>
        <w:t>a competenza, alla declinazione</w:t>
      </w:r>
      <w:r w:rsidR="00C877BF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delle </w:t>
      </w:r>
      <w:r w:rsidR="007B1E05" w:rsidRPr="004B019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877BF" w:rsidRPr="004B0196">
        <w:rPr>
          <w:rFonts w:ascii="Times New Roman" w:hAnsi="Times New Roman" w:cs="Times New Roman"/>
          <w:color w:val="auto"/>
          <w:sz w:val="24"/>
          <w:szCs w:val="24"/>
        </w:rPr>
        <w:t>olitiche di remunerazione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per l’anno </w:t>
      </w:r>
      <w:r w:rsidR="002C50FE" w:rsidRPr="004B0196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="00C877BF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secondo quanto previsto dalle</w:t>
      </w:r>
      <w:r w:rsidR="00C877BF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disposizioni normative vigenti</w:t>
      </w:r>
      <w:r w:rsidR="00FB13E9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e dalle Politiche di Gruppo</w:t>
      </w:r>
      <w:r w:rsidR="00C877BF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e coerentemente con gli indirizzi d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el Consiglio di Amministrazione</w:t>
      </w:r>
      <w:r w:rsidR="00C877BF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0FBDC7E1" w14:textId="702374E4" w:rsidR="004E7E6F" w:rsidRPr="004B0196" w:rsidRDefault="001D15F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I referenti</w:t>
      </w:r>
      <w:r w:rsidR="004E7E6F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E7CD5" w:rsidRPr="004B0196">
        <w:rPr>
          <w:rFonts w:ascii="Times New Roman" w:hAnsi="Times New Roman" w:cs="Times New Roman"/>
          <w:color w:val="auto"/>
          <w:sz w:val="24"/>
          <w:szCs w:val="24"/>
        </w:rPr>
        <w:t>Compliance</w:t>
      </w:r>
      <w:proofErr w:type="spellEnd"/>
      <w:r w:rsidR="001E7CD5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4E7E6F" w:rsidRPr="004B0196">
        <w:rPr>
          <w:rFonts w:ascii="Times New Roman" w:hAnsi="Times New Roman" w:cs="Times New Roman"/>
          <w:color w:val="auto"/>
          <w:sz w:val="24"/>
          <w:szCs w:val="24"/>
        </w:rPr>
        <w:t>Internal</w:t>
      </w:r>
      <w:proofErr w:type="spellEnd"/>
      <w:r w:rsidR="004E7E6F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Audit, ciascun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4E7E6F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secondo le proprie competenze, hanno verificato la coerenza del sistema premiante adottato con le politiche di gestione e di contenimento dei rischi </w:t>
      </w:r>
      <w:r w:rsidR="001E7CD5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della banca </w:t>
      </w:r>
      <w:r w:rsidR="004E7E6F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e la rispondenza delle prassi di remunerazione adottate nel </w:t>
      </w:r>
      <w:r w:rsidR="002C50FE" w:rsidRPr="004B0196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="004E7E6F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alle </w:t>
      </w:r>
      <w:r w:rsidR="00C64602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Politiche </w:t>
      </w:r>
      <w:r w:rsidR="004E7E6F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approvate </w:t>
      </w:r>
      <w:r w:rsidR="00C64602" w:rsidRPr="004B0196">
        <w:rPr>
          <w:rFonts w:ascii="Times New Roman" w:hAnsi="Times New Roman" w:cs="Times New Roman"/>
          <w:color w:val="auto"/>
          <w:sz w:val="24"/>
          <w:szCs w:val="24"/>
        </w:rPr>
        <w:t>dall’Assemblea</w:t>
      </w:r>
      <w:r w:rsidR="00FB13E9" w:rsidRPr="004B01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E7E6F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alla normativa emanata dalla Banca d’Italia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e alle Politiche di Gruppo</w:t>
      </w:r>
      <w:r w:rsidR="004E7E6F" w:rsidRPr="004B01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CEF8C65" w14:textId="77777777" w:rsidR="00C312FF" w:rsidRPr="004B0196" w:rsidRDefault="00C312FF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L’esito delle attività delle funzioni di controllo ha portato alla seguente valutazione:</w:t>
      </w:r>
    </w:p>
    <w:p w14:paraId="1CE9DF34" w14:textId="77777777" w:rsidR="00C312FF" w:rsidRPr="004B0196" w:rsidRDefault="00C312FF" w:rsidP="007A17DE">
      <w:pPr>
        <w:pStyle w:val="Paragrafoelenco"/>
        <w:numPr>
          <w:ilvl w:val="0"/>
          <w:numId w:val="49"/>
        </w:numPr>
        <w:spacing w:after="0" w:line="240" w:lineRule="auto"/>
        <w:ind w:left="567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La funzione di </w:t>
      </w:r>
      <w:proofErr w:type="spellStart"/>
      <w:r w:rsidRPr="004B0196">
        <w:rPr>
          <w:rFonts w:ascii="Times New Roman" w:hAnsi="Times New Roman" w:cs="Times New Roman"/>
          <w:color w:val="auto"/>
          <w:sz w:val="24"/>
          <w:szCs w:val="24"/>
        </w:rPr>
        <w:t>Compliance</w:t>
      </w:r>
      <w:proofErr w:type="spellEnd"/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, dall’analisi della documentazione in materia, messa a disposizione  dalla banca, ha rilevato che le politiche di remunerazione e incentivazione adottate, sono sostanzialmente conformi con i principi previsti dalle Disposizioni normative di riferimento. </w:t>
      </w:r>
    </w:p>
    <w:p w14:paraId="53247F91" w14:textId="606E0003" w:rsidR="00C312FF" w:rsidRPr="004B0196" w:rsidRDefault="00C312FF" w:rsidP="007A17DE">
      <w:pPr>
        <w:pStyle w:val="Paragrafoelenco"/>
        <w:numPr>
          <w:ilvl w:val="0"/>
          <w:numId w:val="49"/>
        </w:numPr>
        <w:spacing w:after="0" w:line="240" w:lineRule="auto"/>
        <w:ind w:left="567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La Funzione di Audit, nella verifica condotta sull’applicazione delle politiche di remunerazione e di incentivazione adottate dalla banca nel 201</w:t>
      </w:r>
      <w:r w:rsidR="00891A9B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, ha espresso un giudizio positivo, rilevando una sostanziale adeguatezza;  “le prassi di remunerazione e incentivazione adottate dalla banca non appaiono in contrasto con i principi di  sana e prudente gestione del rischio e sono in linea con il quadro normativo di riferimento nonché con le politiche di remunerazione adottate. </w:t>
      </w:r>
    </w:p>
    <w:p w14:paraId="5BEE688D" w14:textId="24C6D70E" w:rsidR="0007163D" w:rsidRPr="004B0196" w:rsidRDefault="0007163D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Alla luce delle prassi e tendenze di mercato, tenuto conto delle continue evoluzioni normative in materia</w:t>
      </w:r>
      <w:r w:rsidR="007B1E05" w:rsidRPr="004B0196">
        <w:rPr>
          <w:rFonts w:ascii="Times New Roman" w:hAnsi="Times New Roman" w:cs="Times New Roman"/>
          <w:color w:val="auto"/>
          <w:sz w:val="24"/>
          <w:szCs w:val="24"/>
        </w:rPr>
        <w:t>, in particolare del 25° aggiornamento della Circolare 285 del 13 ottobre 2018,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B1E05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e in coerenza con le Politiche di Gruppo,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per il </w:t>
      </w:r>
      <w:r w:rsidR="002C50FE" w:rsidRPr="004B0196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sono state introdotte alcune novità </w:t>
      </w:r>
      <w:r w:rsidR="001E7CD5" w:rsidRPr="004B0196">
        <w:rPr>
          <w:rFonts w:ascii="Times New Roman" w:hAnsi="Times New Roman" w:cs="Times New Roman"/>
          <w:color w:val="auto"/>
          <w:sz w:val="24"/>
          <w:szCs w:val="24"/>
        </w:rPr>
        <w:t>rispetto alle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precedenti Politiche. In particolare:</w:t>
      </w:r>
    </w:p>
    <w:p w14:paraId="45EEA03A" w14:textId="7C043BCC" w:rsidR="003B3115" w:rsidRPr="004B0196" w:rsidRDefault="007B1E05" w:rsidP="007A17DE">
      <w:pPr>
        <w:pStyle w:val="Paragrafoelenco"/>
        <w:numPr>
          <w:ilvl w:val="0"/>
          <w:numId w:val="39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bCs/>
          <w:color w:val="auto"/>
          <w:sz w:val="24"/>
          <w:szCs w:val="24"/>
        </w:rPr>
        <w:t>processo per la definizione e determinazione della remunerazione variabile basata sulla performance</w:t>
      </w:r>
      <w:r w:rsidR="006E6A29" w:rsidRPr="004B01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che, </w:t>
      </w:r>
      <w:r w:rsidR="003B3115" w:rsidRPr="004B0196">
        <w:rPr>
          <w:rFonts w:ascii="Times New Roman" w:hAnsi="Times New Roman" w:cs="Times New Roman"/>
          <w:bCs/>
          <w:color w:val="auto"/>
          <w:sz w:val="24"/>
          <w:szCs w:val="24"/>
        </w:rPr>
        <w:t>in coerenza con le Politiche di Gruppo</w:t>
      </w:r>
      <w:r w:rsidR="006E6A29" w:rsidRPr="004B01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prevede un legame con </w:t>
      </w:r>
      <w:r w:rsidR="003B3115" w:rsidRPr="004B0196">
        <w:rPr>
          <w:rFonts w:ascii="Times New Roman" w:hAnsi="Times New Roman" w:cs="Times New Roman"/>
          <w:bCs/>
          <w:color w:val="auto"/>
          <w:sz w:val="24"/>
          <w:szCs w:val="24"/>
        </w:rPr>
        <w:t>indicatori di stabilità patrimoniale e di liquidità</w:t>
      </w:r>
      <w:r w:rsidR="006E6A29" w:rsidRPr="004B01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e la redditività corretta per il rischio;</w:t>
      </w:r>
    </w:p>
    <w:p w14:paraId="0986A050" w14:textId="2B1A3D3E" w:rsidR="003B68ED" w:rsidRPr="004B0196" w:rsidRDefault="00760614" w:rsidP="007A17DE">
      <w:pPr>
        <w:pStyle w:val="Paragrafoelenco"/>
        <w:numPr>
          <w:ilvl w:val="0"/>
          <w:numId w:val="39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bCs/>
          <w:color w:val="auto"/>
          <w:sz w:val="24"/>
          <w:szCs w:val="24"/>
        </w:rPr>
        <w:t>p</w:t>
      </w:r>
      <w:r w:rsidR="003B3115" w:rsidRPr="004B01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revisione di meccanismi di </w:t>
      </w:r>
      <w:proofErr w:type="spellStart"/>
      <w:r w:rsidR="003B3115" w:rsidRPr="004B0196">
        <w:rPr>
          <w:rFonts w:ascii="Times New Roman" w:hAnsi="Times New Roman" w:cs="Times New Roman"/>
          <w:bCs/>
          <w:color w:val="auto"/>
          <w:sz w:val="24"/>
          <w:szCs w:val="24"/>
        </w:rPr>
        <w:t>claw</w:t>
      </w:r>
      <w:proofErr w:type="spellEnd"/>
      <w:r w:rsidR="003B3115" w:rsidRPr="004B01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back, che </w:t>
      </w:r>
      <w:r w:rsidRPr="004B0196">
        <w:rPr>
          <w:rFonts w:ascii="Times New Roman" w:hAnsi="Times New Roman" w:cs="Times New Roman"/>
          <w:bCs/>
          <w:color w:val="auto"/>
          <w:sz w:val="24"/>
          <w:szCs w:val="24"/>
        </w:rPr>
        <w:t>prevedono</w:t>
      </w:r>
      <w:r w:rsidR="003B3115" w:rsidRPr="004B01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la </w:t>
      </w:r>
      <w:r w:rsidR="00100620" w:rsidRPr="004B01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restituzione </w:t>
      </w:r>
      <w:r w:rsidRPr="004B0196">
        <w:rPr>
          <w:rFonts w:ascii="Times New Roman" w:hAnsi="Times New Roman" w:cs="Times New Roman"/>
          <w:bCs/>
          <w:color w:val="auto"/>
          <w:sz w:val="24"/>
          <w:szCs w:val="24"/>
        </w:rPr>
        <w:t>della remunerazione variabile corrisposta</w:t>
      </w:r>
      <w:r w:rsidR="003B3115" w:rsidRPr="004B01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B01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qualora si accertino determinate condizioni, </w:t>
      </w:r>
      <w:r w:rsidR="003B3115" w:rsidRPr="004B0196">
        <w:rPr>
          <w:rFonts w:ascii="Times New Roman" w:hAnsi="Times New Roman" w:cs="Times New Roman"/>
          <w:color w:val="auto"/>
          <w:sz w:val="24"/>
          <w:szCs w:val="24"/>
        </w:rPr>
        <w:t>entro cinque anni dalla data di erogazione per il Personale più rilevante di Gruppo e di Banca affiliata e entro due anni per il restante Personale</w:t>
      </w:r>
    </w:p>
    <w:p w14:paraId="4131E3F9" w14:textId="7F277BAD" w:rsidR="001D15F3" w:rsidRPr="004B0196" w:rsidRDefault="00760614" w:rsidP="007A17DE">
      <w:pPr>
        <w:pStyle w:val="Paragrafoelenco"/>
        <w:numPr>
          <w:ilvl w:val="0"/>
          <w:numId w:val="39"/>
        </w:numPr>
        <w:tabs>
          <w:tab w:val="clear" w:pos="567"/>
        </w:tabs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aggiornamento della </w:t>
      </w:r>
      <w:r w:rsidR="001D15F3" w:rsidRPr="004B0196">
        <w:rPr>
          <w:rFonts w:ascii="Times New Roman" w:hAnsi="Times New Roman" w:cs="Times New Roman"/>
          <w:bCs/>
          <w:color w:val="auto"/>
          <w:sz w:val="24"/>
          <w:szCs w:val="24"/>
        </w:rPr>
        <w:t>definizione di remunerazione variabile, in linea con le Disposizioni</w:t>
      </w:r>
      <w:r w:rsidR="00FD7992" w:rsidRPr="004B01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di vigilanza</w:t>
      </w:r>
    </w:p>
    <w:p w14:paraId="72C1CFFE" w14:textId="1C87258C" w:rsidR="001D15F3" w:rsidRPr="004B0196" w:rsidRDefault="00760614" w:rsidP="007A17DE">
      <w:pPr>
        <w:pStyle w:val="Paragrafoelenco"/>
        <w:numPr>
          <w:ilvl w:val="0"/>
          <w:numId w:val="39"/>
        </w:numPr>
        <w:tabs>
          <w:tab w:val="clear" w:pos="567"/>
        </w:tabs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bCs/>
          <w:color w:val="auto"/>
          <w:sz w:val="24"/>
          <w:szCs w:val="24"/>
        </w:rPr>
        <w:t>modifica al limite del rapporto variabile/fisso</w:t>
      </w:r>
    </w:p>
    <w:p w14:paraId="07B82F13" w14:textId="0B0BD963" w:rsidR="00760614" w:rsidRPr="004B0196" w:rsidRDefault="00760614" w:rsidP="007A17DE">
      <w:pPr>
        <w:pStyle w:val="Paragrafoelenco"/>
        <w:numPr>
          <w:ilvl w:val="0"/>
          <w:numId w:val="39"/>
        </w:numPr>
        <w:tabs>
          <w:tab w:val="clear" w:pos="567"/>
        </w:tabs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bCs/>
          <w:color w:val="auto"/>
          <w:sz w:val="24"/>
          <w:szCs w:val="24"/>
        </w:rPr>
        <w:t>modifica del limite in termini di mensilità di remunerazione fissa per i compensi previsti in caso di cessazione anticipata del rapporto di lavoro</w:t>
      </w:r>
    </w:p>
    <w:p w14:paraId="5104FF0A" w14:textId="6EDBCCC9" w:rsidR="00E07882" w:rsidRPr="004B0196" w:rsidRDefault="00E07882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Secondo quanto previsto dalla Circolare 285 della Banca d’</w:t>
      </w:r>
      <w:r w:rsidR="00271332" w:rsidRPr="004B0196">
        <w:rPr>
          <w:rFonts w:ascii="Times New Roman" w:hAnsi="Times New Roman" w:cs="Times New Roman"/>
          <w:color w:val="auto"/>
          <w:sz w:val="24"/>
          <w:szCs w:val="24"/>
        </w:rPr>
        <w:t>Itali</w:t>
      </w:r>
      <w:r w:rsidR="00760614" w:rsidRPr="004B019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4B019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  <w:r w:rsidR="00271332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la Banca fornisce all’Assemblea</w:t>
      </w:r>
      <w:r w:rsidR="00C64602" w:rsidRPr="004B01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almeno annualmente, le informazioni relative all’applicazione delle </w:t>
      </w:r>
      <w:r w:rsidR="00760614" w:rsidRPr="004B019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olitiche di remunerazione per il </w:t>
      </w:r>
      <w:r w:rsidR="002C50FE" w:rsidRPr="004B0196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14:paraId="47B8F6C7" w14:textId="6E2062F0" w:rsidR="00E07882" w:rsidRPr="004B0196" w:rsidRDefault="00E07882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In particolare, la Banca</w:t>
      </w:r>
      <w:r w:rsidR="00C64602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, in linea con quanto richiesto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dall’art. 450 CRR</w:t>
      </w:r>
      <w:r w:rsidR="00C64602" w:rsidRPr="004B01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742E" w:rsidRPr="004B0196">
        <w:rPr>
          <w:rFonts w:ascii="Times New Roman" w:hAnsi="Times New Roman" w:cs="Times New Roman"/>
          <w:color w:val="auto"/>
          <w:sz w:val="24"/>
          <w:szCs w:val="24"/>
        </w:rPr>
        <w:t>fornisce all</w:t>
      </w:r>
      <w:r w:rsidR="008549C3" w:rsidRPr="004B0196">
        <w:rPr>
          <w:rFonts w:ascii="Times New Roman" w:hAnsi="Times New Roman" w:cs="Times New Roman"/>
          <w:color w:val="auto"/>
          <w:sz w:val="24"/>
          <w:szCs w:val="24"/>
        </w:rPr>
        <w:t>’Assemblea</w:t>
      </w:r>
      <w:r w:rsidR="00760614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, in relazione al Personale più rilevante, </w:t>
      </w:r>
      <w:r w:rsidR="005B742E" w:rsidRPr="004B0196">
        <w:rPr>
          <w:rFonts w:ascii="Times New Roman" w:hAnsi="Times New Roman" w:cs="Times New Roman"/>
          <w:color w:val="auto"/>
          <w:sz w:val="24"/>
          <w:szCs w:val="24"/>
        </w:rPr>
        <w:t>informazioni</w:t>
      </w:r>
      <w:r w:rsidR="001E7CD5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in merito ai seguenti </w:t>
      </w:r>
      <w:r w:rsidR="00C64602" w:rsidRPr="004B0196">
        <w:rPr>
          <w:rFonts w:ascii="Times New Roman" w:hAnsi="Times New Roman" w:cs="Times New Roman"/>
          <w:color w:val="auto"/>
          <w:sz w:val="24"/>
          <w:szCs w:val="24"/>
        </w:rPr>
        <w:t>aspetti</w:t>
      </w:r>
      <w:r w:rsidR="005B742E" w:rsidRPr="004B019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1DE00976" w14:textId="77777777" w:rsidR="00E07882" w:rsidRPr="004B0196" w:rsidRDefault="005B742E" w:rsidP="007A17DE">
      <w:pPr>
        <w:numPr>
          <w:ilvl w:val="0"/>
          <w:numId w:val="28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E07882" w:rsidRPr="004B0196">
        <w:rPr>
          <w:rFonts w:ascii="Times New Roman" w:hAnsi="Times New Roman" w:cs="Times New Roman"/>
          <w:color w:val="auto"/>
          <w:sz w:val="24"/>
          <w:szCs w:val="24"/>
        </w:rPr>
        <w:t>l processo decisionale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seguito per la definizione della politica</w:t>
      </w:r>
      <w:r w:rsidR="00E07882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14:paraId="36D7AD30" w14:textId="7EAEF49A" w:rsidR="00E07882" w:rsidRPr="004B0196" w:rsidRDefault="001E7CD5" w:rsidP="007A17DE">
      <w:pPr>
        <w:numPr>
          <w:ilvl w:val="0"/>
          <w:numId w:val="28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Il </w:t>
      </w:r>
      <w:r w:rsidR="005B742E" w:rsidRPr="004B0196">
        <w:rPr>
          <w:rFonts w:ascii="Times New Roman" w:hAnsi="Times New Roman" w:cs="Times New Roman"/>
          <w:color w:val="auto"/>
          <w:sz w:val="24"/>
          <w:szCs w:val="24"/>
        </w:rPr>
        <w:t>collegamento tra remunerazione e performance</w:t>
      </w:r>
      <w:r w:rsidR="00E07882" w:rsidRPr="004B01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FB9860E" w14:textId="04034BB5" w:rsidR="001D15F3" w:rsidRPr="004B0196" w:rsidRDefault="005B742E" w:rsidP="007A17DE">
      <w:pPr>
        <w:numPr>
          <w:ilvl w:val="0"/>
          <w:numId w:val="28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Le principali caratteristiche del sistema di remunerazione e in particolare i criteri utilizzati per la valutazione delle performance, l’aggiustamento ai rischi, il differimento e i criteri di attribuzione della remunerazione variabile</w:t>
      </w:r>
      <w:r w:rsidR="00E07882" w:rsidRPr="004B01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47CF2C70" w14:textId="77777777" w:rsidR="00E07882" w:rsidRPr="004B0196" w:rsidRDefault="005B742E" w:rsidP="007A17DE">
      <w:pPr>
        <w:numPr>
          <w:ilvl w:val="0"/>
          <w:numId w:val="28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Il rapporto </w:t>
      </w:r>
      <w:r w:rsidR="00E07882" w:rsidRPr="004B0196">
        <w:rPr>
          <w:rFonts w:ascii="Times New Roman" w:hAnsi="Times New Roman" w:cs="Times New Roman"/>
          <w:color w:val="auto"/>
          <w:sz w:val="24"/>
          <w:szCs w:val="24"/>
        </w:rPr>
        <w:t>tra l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a componente</w:t>
      </w:r>
      <w:r w:rsidR="00E07882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fissa e variabile della remunerazione;</w:t>
      </w:r>
    </w:p>
    <w:p w14:paraId="71E8B022" w14:textId="0815C294" w:rsidR="00E07882" w:rsidRPr="004B0196" w:rsidRDefault="006467B2" w:rsidP="007A17DE">
      <w:pPr>
        <w:numPr>
          <w:ilvl w:val="0"/>
          <w:numId w:val="28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I criteri di valutazione delle performance in base a</w:t>
      </w:r>
      <w:r w:rsidR="00C64602" w:rsidRPr="004B019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quali vengono concesse azioni, opzioni o altre componenti variabili della remunerazione (laddove applicabile)</w:t>
      </w:r>
      <w:r w:rsidR="00E07882" w:rsidRPr="004B01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6B9F454" w14:textId="77777777" w:rsidR="00E07882" w:rsidRPr="004B0196" w:rsidRDefault="006467B2" w:rsidP="007A17DE">
      <w:pPr>
        <w:numPr>
          <w:ilvl w:val="0"/>
          <w:numId w:val="28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I criteri per l’assegnazione della retribuzione variabile e di altre prestazioni non monetarie</w:t>
      </w:r>
      <w:r w:rsidR="00E07882" w:rsidRPr="004B01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26DEE441" w14:textId="6B3DBFAB" w:rsidR="00E07882" w:rsidRPr="004B0196" w:rsidRDefault="006467B2" w:rsidP="007A17DE">
      <w:pPr>
        <w:numPr>
          <w:ilvl w:val="0"/>
          <w:numId w:val="28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Le</w:t>
      </w:r>
      <w:r w:rsidR="00E07882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informazioni sulla remunerazione complessiva del </w:t>
      </w:r>
      <w:r w:rsidR="00C64602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Presidente </w:t>
      </w:r>
      <w:r w:rsidR="00E07882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dell’organo con funzione di supervisione strategica e di ciascun membro dell’organo con funzione di gestione, del </w:t>
      </w:r>
      <w:r w:rsidR="00C64602" w:rsidRPr="004B0196">
        <w:rPr>
          <w:rFonts w:ascii="Times New Roman" w:hAnsi="Times New Roman" w:cs="Times New Roman"/>
          <w:color w:val="auto"/>
          <w:sz w:val="24"/>
          <w:szCs w:val="24"/>
        </w:rPr>
        <w:t>Direttore Generale</w:t>
      </w:r>
      <w:r w:rsidR="00E07882" w:rsidRPr="004B01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dei </w:t>
      </w:r>
      <w:r w:rsidR="00C64602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Condirettori Generali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e dei </w:t>
      </w:r>
      <w:r w:rsidR="00C64602" w:rsidRPr="004B0196">
        <w:rPr>
          <w:rFonts w:ascii="Times New Roman" w:hAnsi="Times New Roman" w:cs="Times New Roman"/>
          <w:color w:val="auto"/>
          <w:sz w:val="24"/>
          <w:szCs w:val="24"/>
        </w:rPr>
        <w:t>Vice Direttori Generali</w:t>
      </w:r>
      <w:r w:rsidR="00E07882" w:rsidRPr="004B01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4FE74BC2" w14:textId="77777777" w:rsidR="00E07882" w:rsidRPr="004B0196" w:rsidRDefault="006467B2" w:rsidP="007A17DE">
      <w:pPr>
        <w:numPr>
          <w:ilvl w:val="0"/>
          <w:numId w:val="28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Le</w:t>
      </w:r>
      <w:r w:rsidR="00E07882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informazioni quantitative aggregate sulle remunerazioni, disaggregate per ruoli e funzioni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e per aree di attività</w:t>
      </w:r>
      <w:r w:rsidR="00E07882" w:rsidRPr="004B01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77522984" w14:textId="298C2BE7" w:rsidR="00E07882" w:rsidRPr="004B0196" w:rsidRDefault="006467B2" w:rsidP="007A17DE">
      <w:pPr>
        <w:numPr>
          <w:ilvl w:val="0"/>
          <w:numId w:val="28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E07882" w:rsidRPr="004B0196">
        <w:rPr>
          <w:rFonts w:ascii="Times New Roman" w:hAnsi="Times New Roman" w:cs="Times New Roman"/>
          <w:color w:val="auto"/>
          <w:sz w:val="24"/>
          <w:szCs w:val="24"/>
        </w:rPr>
        <w:t>l numero di persone remunerate con 1 milio</w:t>
      </w:r>
      <w:r w:rsidR="0007163D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ne di euro o più nell’esercizio </w:t>
      </w:r>
      <w:r w:rsidR="002C50FE" w:rsidRPr="004B0196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="00C64602" w:rsidRPr="004B01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60F9734" w14:textId="562584EB" w:rsidR="00006B70" w:rsidRDefault="00006B70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78690DD3" w14:textId="218B2CF1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7347EA9F" w14:textId="332F3B83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360AF020" w14:textId="1BB770ED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6773F728" w14:textId="6C250978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63E925D2" w14:textId="7A9F3439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48A370B5" w14:textId="6A139FBF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0DE43F9A" w14:textId="050069B5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7BE3F9CD" w14:textId="46087349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4D3B81C6" w14:textId="0592D552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6D0E5C50" w14:textId="35B3F785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542B7691" w14:textId="7DB6EF56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6E08A535" w14:textId="55ACCF16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6191535C" w14:textId="430EDDFA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2C6687C1" w14:textId="741BDB8C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6BC277C7" w14:textId="0A0AA29F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550D5EC4" w14:textId="4D225686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395E35D0" w14:textId="101F7927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22778DE8" w14:textId="5E36512B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64D4D814" w14:textId="7F7F3B78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4F1966C0" w14:textId="66C40A51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09CCAC75" w14:textId="6DABDC44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752DFE55" w14:textId="068A832B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0AD6C71D" w14:textId="29199E28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56D51C6D" w14:textId="2754BF9B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79475919" w14:textId="386FD202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34D8627B" w14:textId="66585254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655B3FE6" w14:textId="1B92F500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6FCDBCDD" w14:textId="2F29CE9E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71E83ED0" w14:textId="6E81605A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745A44B1" w14:textId="13DA6598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3C78330A" w14:textId="7C47E378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6CEE678E" w14:textId="4313FF8B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713F6138" w14:textId="1ED0C445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4A064FDA" w14:textId="37422B46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0082F36D" w14:textId="12C709F0" w:rsidR="008F1D13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78D4EF23" w14:textId="77777777" w:rsidR="008F1D13" w:rsidRPr="007A17DE" w:rsidRDefault="008F1D13" w:rsidP="007A17DE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</w:p>
    <w:p w14:paraId="3F286F3F" w14:textId="77777777" w:rsidR="00FE7163" w:rsidRPr="007A17DE" w:rsidRDefault="00FE7163" w:rsidP="007A17DE">
      <w:pPr>
        <w:pStyle w:val="Titolo1"/>
        <w:spacing w:before="0" w:after="0"/>
        <w:rPr>
          <w:rFonts w:ascii="Times New Roman" w:hAnsi="Times New Roman" w:cs="Times New Roman"/>
          <w:color w:val="auto"/>
        </w:rPr>
      </w:pPr>
      <w:bookmarkStart w:id="16" w:name="_Toc38466979"/>
      <w:r w:rsidRPr="007A17DE">
        <w:rPr>
          <w:rFonts w:ascii="Times New Roman" w:hAnsi="Times New Roman" w:cs="Times New Roman"/>
          <w:color w:val="auto"/>
        </w:rPr>
        <w:t xml:space="preserve">2. </w:t>
      </w:r>
      <w:r w:rsidR="00007042" w:rsidRPr="008F1D13">
        <w:rPr>
          <w:rFonts w:ascii="Times New Roman" w:hAnsi="Times New Roman" w:cs="Times New Roman"/>
          <w:color w:val="auto"/>
          <w:sz w:val="36"/>
        </w:rPr>
        <w:t>Informazioni sulle remunerazioni</w:t>
      </w:r>
      <w:bookmarkEnd w:id="16"/>
      <w:r w:rsidR="00007042" w:rsidRPr="007A17DE">
        <w:rPr>
          <w:rFonts w:ascii="Times New Roman" w:hAnsi="Times New Roman" w:cs="Times New Roman"/>
          <w:color w:val="auto"/>
        </w:rPr>
        <w:t xml:space="preserve"> </w:t>
      </w:r>
    </w:p>
    <w:p w14:paraId="03A3D730" w14:textId="77777777" w:rsidR="00184F8D" w:rsidRDefault="00184F8D" w:rsidP="007A17DE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14:paraId="0D40970F" w14:textId="1C3A4CDF" w:rsidR="00B86F12" w:rsidRPr="004B0196" w:rsidRDefault="00B86F12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Il sistema di remunerazione degli Organi aziendali si ispira ai principi cooperativi della mutualità senza fini di speculazione privata e si fonda sul rispetto della normativa vigente.</w:t>
      </w:r>
    </w:p>
    <w:p w14:paraId="01EFE5C2" w14:textId="7C739BAF" w:rsidR="00B86F12" w:rsidRPr="004B0196" w:rsidRDefault="00B86F12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Il Consiglio di Amministrazione assicura che i sistemi di remunerazione e incentivazione adottati siano coerenti con le scelte complessive della Banca</w:t>
      </w:r>
      <w:r w:rsidR="00C64602" w:rsidRPr="004B01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le strategie, gli obiettivi di lungo periodo, l’assetto di governo societario e dei controlli interni e la politica di gestione del rischio. </w:t>
      </w:r>
    </w:p>
    <w:p w14:paraId="6B4DE5A4" w14:textId="69D60001" w:rsidR="008D36C2" w:rsidRPr="004B0196" w:rsidRDefault="008D36C2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Con riguardo alla determinazione dei compensi degli Amministratori e dei Sindaci, coerentemente con la delibera assembleare del</w:t>
      </w:r>
      <w:r w:rsidR="00C312FF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13/05/2018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, il Consiglio di Amministrazione, sentito il parere del Collegio sindacale, ha stabilito la remunerazione degli Amministratori, il Presidente, il Vice presidente, i componenti di comitati </w:t>
      </w:r>
      <w:proofErr w:type="spellStart"/>
      <w:r w:rsidRPr="004B0196">
        <w:rPr>
          <w:rFonts w:ascii="Times New Roman" w:hAnsi="Times New Roman" w:cs="Times New Roman"/>
          <w:color w:val="auto"/>
          <w:sz w:val="24"/>
          <w:szCs w:val="24"/>
        </w:rPr>
        <w:t>endo</w:t>
      </w:r>
      <w:proofErr w:type="spellEnd"/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-consiliari, </w:t>
      </w:r>
      <w:r w:rsidR="0056310C" w:rsidRPr="004B0196">
        <w:rPr>
          <w:rFonts w:ascii="Times New Roman" w:hAnsi="Times New Roman" w:cs="Times New Roman"/>
          <w:color w:val="auto"/>
          <w:sz w:val="24"/>
          <w:szCs w:val="24"/>
        </w:rPr>
        <w:t>in base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all’impegno e alle responsabilità assunte. In nessun caso gli Amministratori, anche se investiti di particolari cariche, sono stati destinatari di remunerazione a fronte del raggiungimento di indici di redditività o di utili.</w:t>
      </w:r>
    </w:p>
    <w:p w14:paraId="266FBE31" w14:textId="6022BB26" w:rsidR="008D36C2" w:rsidRPr="004B0196" w:rsidRDefault="008D36C2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Il trattamento economico riconosciuto al </w:t>
      </w:r>
      <w:r w:rsidR="001D15F3" w:rsidRPr="004B019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D93290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ersonale più rilevante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è stato determinato dal Consiglio di </w:t>
      </w:r>
      <w:r w:rsidR="00C64602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Amministrazione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nel rispetto della normativa vigente e della disciplina del Contratto Collettivo Nazionale di Lavoro per i Dirigenti delle Banche di Credito Cooperativo-Casse Rurali </w:t>
      </w:r>
      <w:proofErr w:type="spellStart"/>
      <w:r w:rsidRPr="004B0196">
        <w:rPr>
          <w:rFonts w:ascii="Times New Roman" w:hAnsi="Times New Roman" w:cs="Times New Roman"/>
          <w:color w:val="auto"/>
          <w:sz w:val="24"/>
          <w:szCs w:val="24"/>
        </w:rPr>
        <w:t>ed</w:t>
      </w:r>
      <w:proofErr w:type="spellEnd"/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Artigiane</w:t>
      </w:r>
      <w:r w:rsidR="00EF7FC6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e del Contratto Collettivo Nazionale di Lavoro per i quadri direttivi e per il personale delle aree professionali delle Banche di Credito Cooperativo</w:t>
      </w:r>
      <w:r w:rsidR="00FA1DEB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- Casse Rurali </w:t>
      </w:r>
      <w:proofErr w:type="spellStart"/>
      <w:r w:rsidR="00FA1DEB" w:rsidRPr="004B0196">
        <w:rPr>
          <w:rFonts w:ascii="Times New Roman" w:hAnsi="Times New Roman" w:cs="Times New Roman"/>
          <w:color w:val="auto"/>
          <w:sz w:val="24"/>
          <w:szCs w:val="24"/>
        </w:rPr>
        <w:t>ed</w:t>
      </w:r>
      <w:proofErr w:type="spellEnd"/>
      <w:r w:rsidR="00FA1DEB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Artigiane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E020B7" w14:textId="01516B89" w:rsidR="00927A5A" w:rsidRPr="004B0196" w:rsidRDefault="008D36C2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Le retribuzioni corrisposte al personale </w:t>
      </w:r>
      <w:r w:rsidR="00D93290" w:rsidRPr="004B0196">
        <w:rPr>
          <w:rFonts w:ascii="Times New Roman" w:hAnsi="Times New Roman" w:cs="Times New Roman"/>
          <w:color w:val="auto"/>
          <w:sz w:val="24"/>
          <w:szCs w:val="24"/>
        </w:rPr>
        <w:t>non rilevante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sono state </w:t>
      </w:r>
      <w:r w:rsidR="00D93290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definite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dal Consiglio di Amministrazione, tenuto conto delle previsioni </w:t>
      </w:r>
      <w:r w:rsidR="00D93290" w:rsidRPr="004B0196">
        <w:rPr>
          <w:rFonts w:ascii="Times New Roman" w:hAnsi="Times New Roman" w:cs="Times New Roman"/>
          <w:color w:val="auto"/>
          <w:sz w:val="24"/>
          <w:szCs w:val="24"/>
        </w:rPr>
        <w:t>contrattuali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7CD5" w:rsidRPr="004B0196">
        <w:rPr>
          <w:rFonts w:ascii="Times New Roman" w:hAnsi="Times New Roman" w:cs="Times New Roman"/>
          <w:color w:val="auto"/>
          <w:sz w:val="24"/>
          <w:szCs w:val="24"/>
        </w:rPr>
        <w:t>e della contrattazione di secondo livello secondo gli accordi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stipulat</w:t>
      </w:r>
      <w:r w:rsidR="001E7CD5" w:rsidRPr="004B019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dalla Federazio</w:t>
      </w:r>
      <w:r w:rsidR="00927A5A" w:rsidRPr="004B0196">
        <w:rPr>
          <w:rFonts w:ascii="Times New Roman" w:hAnsi="Times New Roman" w:cs="Times New Roman"/>
          <w:color w:val="auto"/>
          <w:sz w:val="24"/>
          <w:szCs w:val="24"/>
        </w:rPr>
        <w:t>ne regionale di categoria.</w:t>
      </w:r>
    </w:p>
    <w:p w14:paraId="5C53C7D3" w14:textId="77777777" w:rsidR="008D36C2" w:rsidRPr="004B0196" w:rsidRDefault="0056310C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Il </w:t>
      </w:r>
      <w:r w:rsidR="008D36C2" w:rsidRPr="004B0196">
        <w:rPr>
          <w:rFonts w:ascii="Times New Roman" w:hAnsi="Times New Roman" w:cs="Times New Roman"/>
          <w:color w:val="auto"/>
          <w:sz w:val="24"/>
          <w:szCs w:val="24"/>
        </w:rPr>
        <w:t>Consiglio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di Amministrazione determina la remunerazione per</w:t>
      </w:r>
      <w:r w:rsidR="00927A5A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i seguenti soggetti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1525BE19" w14:textId="28D8B0E7" w:rsidR="008D36C2" w:rsidRPr="004B0196" w:rsidRDefault="008D36C2" w:rsidP="007A17DE">
      <w:pPr>
        <w:pStyle w:val="Paragrafoelenco"/>
        <w:numPr>
          <w:ilvl w:val="0"/>
          <w:numId w:val="40"/>
        </w:numPr>
        <w:tabs>
          <w:tab w:val="clear" w:pos="567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i componenti della </w:t>
      </w:r>
      <w:r w:rsidR="001D15F3" w:rsidRPr="004B0196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irezione generale;</w:t>
      </w:r>
    </w:p>
    <w:p w14:paraId="63FA93C1" w14:textId="6DAA12D2" w:rsidR="008D36C2" w:rsidRPr="004B0196" w:rsidRDefault="008D36C2" w:rsidP="007A17DE">
      <w:pPr>
        <w:pStyle w:val="Paragrafoelenco"/>
        <w:numPr>
          <w:ilvl w:val="0"/>
          <w:numId w:val="40"/>
        </w:numPr>
        <w:tabs>
          <w:tab w:val="clear" w:pos="567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i responsabili </w:t>
      </w:r>
      <w:r w:rsidR="00D93290" w:rsidRPr="004B0196">
        <w:rPr>
          <w:rFonts w:ascii="Times New Roman" w:hAnsi="Times New Roman" w:cs="Times New Roman"/>
          <w:color w:val="auto"/>
          <w:sz w:val="24"/>
          <w:szCs w:val="24"/>
        </w:rPr>
        <w:t>di livello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più elevato delle </w:t>
      </w:r>
      <w:r w:rsidR="001D15F3" w:rsidRPr="004B0196">
        <w:rPr>
          <w:rFonts w:ascii="Times New Roman" w:hAnsi="Times New Roman" w:cs="Times New Roman"/>
          <w:color w:val="auto"/>
          <w:sz w:val="24"/>
          <w:szCs w:val="24"/>
        </w:rPr>
        <w:t>F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unzioni aziendali di controllo;</w:t>
      </w:r>
    </w:p>
    <w:p w14:paraId="1F0348AE" w14:textId="500614BD" w:rsidR="008D36C2" w:rsidRPr="004B0196" w:rsidRDefault="00C64602" w:rsidP="007A17DE">
      <w:pPr>
        <w:pStyle w:val="Paragrafoelenco"/>
        <w:numPr>
          <w:ilvl w:val="0"/>
          <w:numId w:val="40"/>
        </w:numPr>
        <w:tabs>
          <w:tab w:val="clear" w:pos="567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8D36C2" w:rsidRPr="004B0196">
        <w:rPr>
          <w:rFonts w:ascii="Times New Roman" w:hAnsi="Times New Roman" w:cs="Times New Roman"/>
          <w:color w:val="auto"/>
          <w:sz w:val="24"/>
          <w:szCs w:val="24"/>
        </w:rPr>
        <w:t>responsabili delle principali linee di business e funzioni aziendali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E09499D" w14:textId="53071198" w:rsidR="00F04F40" w:rsidRPr="004B0196" w:rsidRDefault="00B604EB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La Banca</w:t>
      </w:r>
      <w:r w:rsidR="00C64602" w:rsidRPr="004B01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in considerazione della propria natura cooperativa e mutualistica</w:t>
      </w:r>
      <w:r w:rsidR="00C64602" w:rsidRPr="004B01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non persegue attività speculative e adotta un modello di business tradizionale che limita significativamente, rispetto ad altre istituzioni finanziarie, l’assunzione dei rischi. Il trattamento economico riconosciuto al personale dipendente è prevalentemente basato sulla remunerazione fissa</w:t>
      </w:r>
      <w:r w:rsidR="00C64602" w:rsidRPr="004B01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6C15A00" w14:textId="614A047C" w:rsidR="00F04F40" w:rsidRPr="004B0196" w:rsidRDefault="00F04F40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Secondo quanto previsto dal Regolamento Delegato 604/2014</w:t>
      </w:r>
      <w:r w:rsidR="00C755FE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la Banca ha effettuato l</w:t>
      </w:r>
      <w:r w:rsidR="00C64602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’identificazione </w:t>
      </w:r>
      <w:r w:rsidR="00C755FE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del </w:t>
      </w:r>
      <w:r w:rsidR="001D15F3" w:rsidRPr="004B019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755FE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ersonale più rilevante, ovvero le categorie di soggetti la cui attività professionale ha o può avere un impatto sul profilo di </w:t>
      </w:r>
      <w:r w:rsidR="00DC70E2" w:rsidRPr="004B0196">
        <w:rPr>
          <w:rFonts w:ascii="Times New Roman" w:hAnsi="Times New Roman" w:cs="Times New Roman"/>
          <w:color w:val="auto"/>
          <w:sz w:val="24"/>
          <w:szCs w:val="24"/>
        </w:rPr>
        <w:t>rischio della Banca</w:t>
      </w:r>
      <w:r w:rsidR="00C755FE" w:rsidRPr="004B019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C70E2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L</w:t>
      </w:r>
      <w:r w:rsidR="00FD19F9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C64602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Banca </w:t>
      </w:r>
      <w:r w:rsidR="00FD19F9" w:rsidRPr="004B0196">
        <w:rPr>
          <w:rFonts w:ascii="Times New Roman" w:hAnsi="Times New Roman" w:cs="Times New Roman"/>
          <w:color w:val="auto"/>
          <w:sz w:val="24"/>
          <w:szCs w:val="24"/>
        </w:rPr>
        <w:t>ha definito</w:t>
      </w:r>
      <w:r w:rsidR="00DC70E2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sistemi e modalit</w:t>
      </w:r>
      <w:r w:rsidR="00FD19F9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à retributive per le diverse categorie di personale. </w:t>
      </w:r>
    </w:p>
    <w:p w14:paraId="364E15A2" w14:textId="4B54392C" w:rsidR="006E6A29" w:rsidRPr="004B0196" w:rsidRDefault="00FC6745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La componente variabile</w:t>
      </w:r>
      <w:r w:rsidR="001D15F3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basata sulla performance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della remunerazione è correlata ai risultati </w:t>
      </w:r>
      <w:r w:rsidR="006E6A29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di Gruppo,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aziendali e</w:t>
      </w:r>
      <w:r w:rsidR="00B604EB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individuali </w:t>
      </w:r>
      <w:r w:rsidR="006E6A29" w:rsidRPr="004B0196">
        <w:rPr>
          <w:rFonts w:ascii="Times New Roman" w:hAnsi="Times New Roman" w:cs="Times New Roman"/>
          <w:color w:val="auto"/>
          <w:sz w:val="24"/>
          <w:szCs w:val="24"/>
        </w:rPr>
        <w:t>e prevede, in coerenza con le Politiche di Gruppo:</w:t>
      </w:r>
    </w:p>
    <w:p w14:paraId="6CA0BE51" w14:textId="13F795C0" w:rsidR="006E6A29" w:rsidRPr="004B0196" w:rsidRDefault="006E6A29" w:rsidP="007A17DE">
      <w:pPr>
        <w:pStyle w:val="Paragrafoelenco"/>
        <w:numPr>
          <w:ilvl w:val="0"/>
          <w:numId w:val="40"/>
        </w:numPr>
        <w:tabs>
          <w:tab w:val="clear" w:pos="567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la definizione di un Bonus pool target definito in percentuale dell’Utile lordo, che finanzia la componente variabile basata sulla performance (ad eccezione del premio annuale previsto dalla contrattazione collettiva);</w:t>
      </w:r>
    </w:p>
    <w:p w14:paraId="6DB21ACA" w14:textId="4086C680" w:rsidR="006E6A29" w:rsidRPr="004B0196" w:rsidRDefault="006E6A29" w:rsidP="007A17DE">
      <w:pPr>
        <w:pStyle w:val="Paragrafoelenco"/>
        <w:numPr>
          <w:ilvl w:val="0"/>
          <w:numId w:val="40"/>
        </w:numPr>
        <w:tabs>
          <w:tab w:val="clear" w:pos="567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la corresponsione della remunerazione variabile basata sulla performance subordinatamente al superamento di requisiti di Gruppo e di Banca, finalizzati a garantire il rispetto degli indicatori di stabilità patrimoniale e di liquidità: CET 1 Ratio, NSFR, Assenza di sanzioni da parte dell’Autorità di Vigilanza al Gruppo;</w:t>
      </w:r>
    </w:p>
    <w:p w14:paraId="64BAB0D7" w14:textId="53BFBBD0" w:rsidR="006E6A29" w:rsidRPr="004B0196" w:rsidRDefault="006E6A29" w:rsidP="007A17DE">
      <w:pPr>
        <w:pStyle w:val="Paragrafoelenco"/>
        <w:numPr>
          <w:ilvl w:val="0"/>
          <w:numId w:val="40"/>
        </w:numPr>
        <w:tabs>
          <w:tab w:val="clear" w:pos="567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un ulteriore aggiustamento ex-post per tenere conto della qualità della performance realizzata, in considerazione del livello di raggiungimento del RORWA, determinato come rapporto tra Utile Netto e RWA, rispetto al budget</w:t>
      </w:r>
    </w:p>
    <w:p w14:paraId="170E3C9D" w14:textId="4121BAF3" w:rsidR="006E6A29" w:rsidRPr="004B0196" w:rsidRDefault="006E6A29" w:rsidP="007A17DE">
      <w:pPr>
        <w:pStyle w:val="Paragrafoelenco"/>
        <w:numPr>
          <w:ilvl w:val="0"/>
          <w:numId w:val="40"/>
        </w:numPr>
        <w:tabs>
          <w:tab w:val="clear" w:pos="567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il rispetto delle condizioni di attivazione a livello individuale per l’effettiva attribuzione dei premi</w:t>
      </w:r>
    </w:p>
    <w:p w14:paraId="611F072F" w14:textId="4278907A" w:rsidR="00AD5A84" w:rsidRPr="004B0196" w:rsidRDefault="006E6A29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Di seguito viene fornito maggior dettaglio in merito alle forme di variabile basata sulla performance 2019 e i criteri applicati per la determinazione dei premi.</w:t>
      </w:r>
    </w:p>
    <w:p w14:paraId="586D2824" w14:textId="77777777" w:rsidR="00184F8D" w:rsidRPr="004B0196" w:rsidRDefault="00184F8D" w:rsidP="007A17DE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F295729" w14:textId="45473947" w:rsidR="00D93290" w:rsidRPr="004B0196" w:rsidRDefault="00D93290" w:rsidP="007A17DE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Remunerazione </w:t>
      </w:r>
      <w:r w:rsidR="00C64602" w:rsidRPr="004B0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variabile </w:t>
      </w:r>
      <w:r w:rsidR="001D15F3" w:rsidRPr="004B0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basata sulla performance </w:t>
      </w:r>
      <w:r w:rsidRPr="004B0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del </w:t>
      </w:r>
      <w:r w:rsidR="001D15F3" w:rsidRPr="004B0196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Pr="004B0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ersonale più rilevante </w:t>
      </w:r>
    </w:p>
    <w:p w14:paraId="526CA8AF" w14:textId="16762539" w:rsidR="00C524F5" w:rsidRPr="004B0196" w:rsidRDefault="00D93290" w:rsidP="007A17DE">
      <w:pPr>
        <w:numPr>
          <w:ilvl w:val="0"/>
          <w:numId w:val="31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hanging="294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b/>
          <w:color w:val="auto"/>
          <w:sz w:val="24"/>
          <w:szCs w:val="24"/>
        </w:rPr>
        <w:t>Premio annuale</w:t>
      </w:r>
      <w:r w:rsidR="00B604EB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, erogato sulla base dei risultati aziendali conseguiti, ai sensi dell’art. 18 del CCNL Dirigenti; </w:t>
      </w:r>
      <w:r w:rsidR="00C524F5" w:rsidRPr="004B0196">
        <w:rPr>
          <w:rFonts w:ascii="Times New Roman" w:hAnsi="Times New Roman" w:cs="Times New Roman"/>
          <w:color w:val="auto"/>
          <w:sz w:val="24"/>
          <w:szCs w:val="24"/>
        </w:rPr>
        <w:t>Il Premio è determinato moltiplicando</w:t>
      </w:r>
      <w:r w:rsidR="00C524F5" w:rsidRPr="004B01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524F5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per </w:t>
      </w:r>
      <w:r w:rsidR="00C524F5" w:rsidRPr="004B0196">
        <w:rPr>
          <w:rFonts w:ascii="Times New Roman" w:hAnsi="Times New Roman" w:cs="Times New Roman"/>
          <w:color w:val="auto"/>
          <w:sz w:val="24"/>
          <w:szCs w:val="24"/>
        </w:rPr>
        <w:t>parametro, stabilito nelle “Politiche di Remunerazione 2019”</w:t>
      </w:r>
      <w:r w:rsidR="00C524F5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il premio di risultato spettante alla massima figura di “Quadro Direttivo” presente in azienda (premio di riferimento). Il calcolo del premio di riferimento è stato eseguito secondo i parametri stabiliti dagli accordi collettivi nazionali, rapportando i risultati inerenti l’esercizio di riferimento con quelli ottenuti nel corso dei due esercizi precedenti.   </w:t>
      </w:r>
    </w:p>
    <w:p w14:paraId="77A94F92" w14:textId="149D7A90" w:rsidR="00FC6745" w:rsidRPr="004B0196" w:rsidRDefault="00FC6745" w:rsidP="007A17DE">
      <w:pPr>
        <w:numPr>
          <w:ilvl w:val="0"/>
          <w:numId w:val="31"/>
        </w:numPr>
        <w:tabs>
          <w:tab w:val="clear" w:pos="567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b/>
          <w:color w:val="auto"/>
          <w:sz w:val="24"/>
          <w:szCs w:val="24"/>
        </w:rPr>
        <w:t>Ulteriori erogazioni connesse a prestazioni meritevoli (</w:t>
      </w:r>
      <w:r w:rsidR="00AD5A84" w:rsidRPr="004B0196">
        <w:rPr>
          <w:rFonts w:ascii="Times New Roman" w:hAnsi="Times New Roman" w:cs="Times New Roman"/>
          <w:b/>
          <w:color w:val="auto"/>
          <w:sz w:val="24"/>
          <w:szCs w:val="24"/>
        </w:rPr>
        <w:t>premi una tantum)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. Consistono in erogazioni di natura discrezionale e non continuativa, riconosciute in unica soluzione, definite nel loro ammontare individuale e complessivo nel pieno rispetto del principio di sana e prudente gestione</w:t>
      </w:r>
      <w:r w:rsidR="00AD5A84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dei rischi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, non riferibili a previsioni di contratto collettivo o a sistemi incentivanti adottati dalla Banc</w:t>
      </w:r>
      <w:r w:rsidR="00AD5A84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a. </w:t>
      </w:r>
      <w:r w:rsidR="006428D5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Con riferimento all’esercizio 2019 </w:t>
      </w:r>
      <w:r w:rsidR="00C524F5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non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sono stati riconosciuti </w:t>
      </w:r>
      <w:r w:rsidR="00C524F5" w:rsidRPr="004B0196">
        <w:rPr>
          <w:rFonts w:ascii="Times New Roman" w:hAnsi="Times New Roman" w:cs="Times New Roman"/>
          <w:color w:val="auto"/>
          <w:sz w:val="24"/>
          <w:szCs w:val="24"/>
        </w:rPr>
        <w:t>compensi di tale natura.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F331E6C" w14:textId="2D3F5B41" w:rsidR="00FC6745" w:rsidRPr="004B0196" w:rsidRDefault="001333E7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In nessun caso, per il </w:t>
      </w:r>
      <w:r w:rsidR="003C78BC" w:rsidRPr="004B019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ersonale più rilevante</w:t>
      </w:r>
      <w:r w:rsidR="00FC6745" w:rsidRPr="004B0196">
        <w:rPr>
          <w:rFonts w:ascii="Times New Roman" w:hAnsi="Times New Roman" w:cs="Times New Roman"/>
          <w:color w:val="auto"/>
          <w:sz w:val="24"/>
          <w:szCs w:val="24"/>
        </w:rPr>
        <w:t>, l’importo complessivo della remunerazione variabile ha superato limite del</w:t>
      </w:r>
      <w:r w:rsidR="00C312FF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25,00 % </w:t>
      </w:r>
      <w:r w:rsidR="00964400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della retribuzione fissa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del </w:t>
      </w:r>
      <w:r w:rsidR="003C78BC" w:rsidRPr="004B019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ersonale più rilevante </w:t>
      </w:r>
      <w:r w:rsidR="00FC6745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previsto dalle Politiche in materia di remunerazione vigenti nel corso del </w:t>
      </w:r>
      <w:r w:rsidR="002C50FE" w:rsidRPr="004B0196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="00FC6745" w:rsidRPr="004B01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27E4AC5" w14:textId="0DA9313A" w:rsidR="00FD7992" w:rsidRPr="004B0196" w:rsidRDefault="006E6A29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La remunerazione variabile del Personale più rilevante</w:t>
      </w:r>
      <w:r w:rsidR="00C312FF" w:rsidRPr="004B0196">
        <w:rPr>
          <w:rFonts w:ascii="Times New Roman" w:hAnsi="Times New Roman" w:cs="Times New Roman"/>
          <w:color w:val="auto"/>
          <w:sz w:val="24"/>
          <w:szCs w:val="24"/>
        </w:rPr>
        <w:t>, per la quota che eccede € 40.000,00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è soggetta a meccanismi di differimento che prevedono che una quota pari</w:t>
      </w:r>
      <w:r w:rsidR="00C312FF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al 25,00 %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venga differita per un periodo di </w:t>
      </w:r>
      <w:r w:rsidR="00C312FF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un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anno</w:t>
      </w:r>
      <w:r w:rsidR="00A92F1D" w:rsidRPr="004B019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D7992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2568002" w14:textId="77777777" w:rsidR="00A92F1D" w:rsidRPr="004B0196" w:rsidRDefault="00A92F1D" w:rsidP="007A17DE">
      <w:pPr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48B1E10F" w14:textId="2281360B" w:rsidR="001333E7" w:rsidRPr="004B0196" w:rsidRDefault="001333E7" w:rsidP="007A17DE">
      <w:pPr>
        <w:spacing w:after="0" w:line="240" w:lineRule="auto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Remunerazione </w:t>
      </w:r>
      <w:r w:rsidR="00C64602" w:rsidRPr="004B0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variabile </w:t>
      </w:r>
      <w:r w:rsidR="006E6A29" w:rsidRPr="004B0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basata sulla performance </w:t>
      </w:r>
      <w:r w:rsidRPr="004B0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del restante personale </w:t>
      </w:r>
    </w:p>
    <w:p w14:paraId="51F62437" w14:textId="3503066D" w:rsidR="00C72785" w:rsidRPr="004B0196" w:rsidRDefault="00FC6745" w:rsidP="007A17DE">
      <w:pPr>
        <w:numPr>
          <w:ilvl w:val="0"/>
          <w:numId w:val="31"/>
        </w:numPr>
        <w:tabs>
          <w:tab w:val="clear" w:pos="567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b/>
          <w:color w:val="auto"/>
          <w:sz w:val="24"/>
          <w:szCs w:val="24"/>
        </w:rPr>
        <w:t>Premio di risultato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, previsto dall’art. 48 del relativo CCNL, definito dal Contratto integrativo Regionale, secondo i parametri stabiliti dagli accordi collettivi nazionali, rapportando i risultati inerenti l’esercizio di riferimento con quelli ottenuti nel corso dei due esercizi precedenti.</w:t>
      </w:r>
      <w:r w:rsidR="001333E7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L’</w:t>
      </w:r>
      <w:r w:rsidR="00C72785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importo per il </w:t>
      </w:r>
      <w:r w:rsidR="002C50FE" w:rsidRPr="004B0196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è pari ad una percentuale del</w:t>
      </w:r>
      <w:r w:rsidR="002E6105">
        <w:rPr>
          <w:rFonts w:ascii="Times New Roman" w:hAnsi="Times New Roman" w:cs="Times New Roman"/>
          <w:color w:val="auto"/>
          <w:sz w:val="24"/>
          <w:szCs w:val="24"/>
        </w:rPr>
        <w:t xml:space="preserve"> 4,30 %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della retribuzione fissa </w:t>
      </w:r>
      <w:r w:rsidR="001333E7" w:rsidRPr="004B0196">
        <w:rPr>
          <w:rFonts w:ascii="Times New Roman" w:hAnsi="Times New Roman" w:cs="Times New Roman"/>
          <w:color w:val="auto"/>
          <w:sz w:val="24"/>
          <w:szCs w:val="24"/>
        </w:rPr>
        <w:t>del restante personale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14:paraId="2DC3A764" w14:textId="7CDA5E79" w:rsidR="00007042" w:rsidRPr="004B0196" w:rsidRDefault="00C72785" w:rsidP="007A17DE">
      <w:pPr>
        <w:numPr>
          <w:ilvl w:val="0"/>
          <w:numId w:val="31"/>
        </w:numPr>
        <w:tabs>
          <w:tab w:val="clear" w:pos="567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b/>
          <w:color w:val="auto"/>
          <w:sz w:val="24"/>
          <w:szCs w:val="24"/>
        </w:rPr>
        <w:t>Sistema incentivante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FC6745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La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Banca</w:t>
      </w:r>
      <w:r w:rsidR="00FC6745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ha definito, ai sensi dell’art. 50 CCNL, un sistema incentivante i cui premi sono stat</w:t>
      </w:r>
      <w:r w:rsidR="00FC6745" w:rsidRPr="004B0196">
        <w:rPr>
          <w:rFonts w:ascii="Times New Roman" w:hAnsi="Times New Roman" w:cs="Times New Roman"/>
          <w:color w:val="auto"/>
          <w:sz w:val="24"/>
          <w:szCs w:val="24"/>
          <w:u w:val="single"/>
        </w:rPr>
        <w:t>i</w:t>
      </w:r>
      <w:r w:rsidR="00FC6745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erogati al raggiu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ngimento di specifici obiettivi.</w:t>
      </w:r>
      <w:r w:rsidR="00FC6745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Il sistema incentivante, oltre a tenere conto dei principi di pari opportunità dei lavoratori, è finalizzato al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raggiungimento di obiettivi </w:t>
      </w:r>
      <w:r w:rsidR="00FC6745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predeterminati, in coerenza con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gli obiettivi del piano strategico.</w:t>
      </w:r>
      <w:r w:rsidR="00FC6745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24F5" w:rsidRPr="004B0196">
        <w:rPr>
          <w:rFonts w:ascii="Times New Roman" w:hAnsi="Times New Roman" w:cs="Times New Roman"/>
          <w:color w:val="auto"/>
          <w:sz w:val="24"/>
          <w:szCs w:val="24"/>
        </w:rPr>
        <w:t>Per il 2019 non sono stati riconosciuti premi a tale titolo.</w:t>
      </w:r>
      <w:r w:rsidR="00FC6745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820EEB9" w14:textId="1EB2E7B6" w:rsidR="00C72785" w:rsidRPr="004B0196" w:rsidRDefault="00C72785" w:rsidP="007A17DE">
      <w:pPr>
        <w:spacing w:after="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In nessun caso, per </w:t>
      </w:r>
      <w:r w:rsidR="001333E7" w:rsidRPr="004B0196">
        <w:rPr>
          <w:rFonts w:ascii="Times New Roman" w:hAnsi="Times New Roman" w:cs="Times New Roman"/>
          <w:color w:val="auto"/>
          <w:sz w:val="24"/>
          <w:szCs w:val="24"/>
        </w:rPr>
        <w:t>il restante personale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, l’importo complessivo della remunerazione variabile ha superato limite del</w:t>
      </w:r>
      <w:r w:rsidR="00C524F5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25,00 % </w:t>
      </w:r>
      <w:r w:rsidR="00F04F40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della retribuzione fissa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previsto dalle Politiche di remunerazione vigenti nel corso del </w:t>
      </w:r>
      <w:r w:rsidR="002C50FE" w:rsidRPr="004B0196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018F31D" w14:textId="14A216CB" w:rsidR="00C72785" w:rsidRPr="004B0196" w:rsidRDefault="00C72785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Con riferimento ai </w:t>
      </w:r>
      <w:r w:rsidR="003C78BC" w:rsidRPr="004B0196">
        <w:rPr>
          <w:rFonts w:ascii="Times New Roman" w:hAnsi="Times New Roman" w:cs="Times New Roman"/>
          <w:color w:val="auto"/>
          <w:sz w:val="24"/>
          <w:szCs w:val="24"/>
        </w:rPr>
        <w:t>referenti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delle </w:t>
      </w:r>
      <w:r w:rsidR="003C78BC" w:rsidRPr="004B0196">
        <w:rPr>
          <w:rFonts w:ascii="Times New Roman" w:hAnsi="Times New Roman" w:cs="Times New Roman"/>
          <w:color w:val="auto"/>
          <w:sz w:val="24"/>
          <w:szCs w:val="24"/>
        </w:rPr>
        <w:t>F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unzioni aziendali di controllo, la componente </w:t>
      </w:r>
      <w:r w:rsidRPr="004B0196">
        <w:rPr>
          <w:rFonts w:ascii="Times New Roman" w:hAnsi="Times New Roman" w:cs="Times New Roman"/>
          <w:i/>
          <w:color w:val="auto"/>
          <w:sz w:val="24"/>
          <w:szCs w:val="24"/>
        </w:rPr>
        <w:t xml:space="preserve">variabile </w:t>
      </w:r>
      <w:r w:rsidR="000C2377" w:rsidRPr="004B0196">
        <w:rPr>
          <w:rFonts w:ascii="Times New Roman" w:hAnsi="Times New Roman" w:cs="Times New Roman"/>
          <w:i/>
          <w:color w:val="auto"/>
          <w:sz w:val="24"/>
          <w:szCs w:val="24"/>
        </w:rPr>
        <w:t>della remunerazione</w:t>
      </w:r>
      <w:r w:rsidRPr="004B019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è </w:t>
      </w:r>
      <w:r w:rsidR="000C2377" w:rsidRPr="004B0196">
        <w:rPr>
          <w:rFonts w:ascii="Times New Roman" w:hAnsi="Times New Roman" w:cs="Times New Roman"/>
          <w:i/>
          <w:color w:val="auto"/>
          <w:sz w:val="24"/>
          <w:szCs w:val="24"/>
        </w:rPr>
        <w:t>costituta dal</w:t>
      </w:r>
      <w:r w:rsidRPr="004B019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premio di risultato, </w:t>
      </w:r>
      <w:r w:rsidR="000C2377" w:rsidRPr="004B0196">
        <w:rPr>
          <w:rFonts w:ascii="Times New Roman" w:hAnsi="Times New Roman" w:cs="Times New Roman"/>
          <w:i/>
          <w:color w:val="auto"/>
          <w:sz w:val="24"/>
          <w:szCs w:val="24"/>
        </w:rPr>
        <w:t xml:space="preserve">definito dalla contrattazione collettiva. Eventuali ulteriori componenti </w:t>
      </w:r>
      <w:r w:rsidR="000C2377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variabili della remunerazione in coerenza con i compiti assegnati e nel rispetto del principio di indipendenza, non </w:t>
      </w:r>
      <w:r w:rsidR="00EE45E9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sono </w:t>
      </w:r>
      <w:r w:rsidR="000C2377" w:rsidRPr="004B0196">
        <w:rPr>
          <w:rFonts w:ascii="Times New Roman" w:hAnsi="Times New Roman" w:cs="Times New Roman"/>
          <w:color w:val="auto"/>
          <w:sz w:val="24"/>
          <w:szCs w:val="24"/>
        </w:rPr>
        <w:t>collegat</w:t>
      </w:r>
      <w:r w:rsidR="00EE45E9" w:rsidRPr="004B0196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0C2377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ai risultati economici aziendali ma </w:t>
      </w:r>
      <w:r w:rsidR="00F04F40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0C2377" w:rsidRPr="004B0196">
        <w:rPr>
          <w:rFonts w:ascii="Times New Roman" w:hAnsi="Times New Roman" w:cs="Times New Roman"/>
          <w:color w:val="auto"/>
          <w:sz w:val="24"/>
          <w:szCs w:val="24"/>
        </w:rPr>
        <w:t>obiettivi qualitativi di contenimento del rischio e di sostenibilità aziendale</w:t>
      </w:r>
      <w:r w:rsidR="007A17DE" w:rsidRPr="004B019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C2377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2377" w:rsidRPr="004B0196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</w:p>
    <w:p w14:paraId="7C0CED02" w14:textId="6DD047F0" w:rsidR="000C2377" w:rsidRPr="004B0196" w:rsidRDefault="00C72785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In</w:t>
      </w:r>
      <w:r w:rsidR="00F04F40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nessun caso, per i </w:t>
      </w:r>
      <w:r w:rsidR="003C78BC" w:rsidRPr="004B0196">
        <w:rPr>
          <w:rFonts w:ascii="Times New Roman" w:hAnsi="Times New Roman" w:cs="Times New Roman"/>
          <w:color w:val="auto"/>
          <w:sz w:val="24"/>
          <w:szCs w:val="24"/>
        </w:rPr>
        <w:t>referenti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delle </w:t>
      </w:r>
      <w:r w:rsidR="003C78BC" w:rsidRPr="004B0196">
        <w:rPr>
          <w:rFonts w:ascii="Times New Roman" w:hAnsi="Times New Roman" w:cs="Times New Roman"/>
          <w:color w:val="auto"/>
          <w:sz w:val="24"/>
          <w:szCs w:val="24"/>
        </w:rPr>
        <w:t>F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unzioni aziendali di controllo, l’importo complessivo della remunerazione variabile ha superato limite del</w:t>
      </w:r>
      <w:r w:rsidR="00C524F5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25,00 %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della retribuzione</w:t>
      </w:r>
      <w:r w:rsidR="00F04F40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fissa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previsto dalle Politiche in materia di remunerazione e incentiva</w:t>
      </w:r>
      <w:r w:rsidR="00F04F40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zioni vigenti nel corso del </w:t>
      </w:r>
      <w:r w:rsidR="002C50FE" w:rsidRPr="004B0196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E9CC764" w14:textId="77777777" w:rsidR="0068673A" w:rsidRPr="004B0196" w:rsidRDefault="0068673A" w:rsidP="007A17DE">
      <w:pPr>
        <w:pStyle w:val="Testocommento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291E84E8" w14:textId="2478DA8B" w:rsidR="00580509" w:rsidRPr="004B0196" w:rsidRDefault="003C78BC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b/>
          <w:color w:val="auto"/>
          <w:sz w:val="24"/>
          <w:szCs w:val="24"/>
        </w:rPr>
        <w:t>Compensi</w:t>
      </w:r>
      <w:r w:rsidR="000C2377" w:rsidRPr="004B0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corrispost</w:t>
      </w:r>
      <w:r w:rsidRPr="004B0196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0C2377" w:rsidRPr="004B0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in occasione della cessazione del rapporto di lavoro (</w:t>
      </w:r>
      <w:proofErr w:type="spellStart"/>
      <w:r w:rsidR="000C2377" w:rsidRPr="004B019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severance</w:t>
      </w:r>
      <w:proofErr w:type="spellEnd"/>
      <w:r w:rsidR="00F04F40" w:rsidRPr="004B0196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105DAC" w:rsidRPr="004B0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05DAC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inclusi </w:t>
      </w:r>
      <w:r w:rsidR="000C2377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i cd. </w:t>
      </w:r>
      <w:proofErr w:type="spellStart"/>
      <w:r w:rsidR="000C2377" w:rsidRPr="004B0196">
        <w:rPr>
          <w:rFonts w:ascii="Times New Roman" w:hAnsi="Times New Roman" w:cs="Times New Roman"/>
          <w:b/>
          <w:i/>
          <w:color w:val="auto"/>
          <w:sz w:val="24"/>
          <w:szCs w:val="24"/>
        </w:rPr>
        <w:t>golden</w:t>
      </w:r>
      <w:proofErr w:type="spellEnd"/>
      <w:r w:rsidR="000C2377" w:rsidRPr="004B0196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="000C2377" w:rsidRPr="004B0196">
        <w:rPr>
          <w:rFonts w:ascii="Times New Roman" w:hAnsi="Times New Roman" w:cs="Times New Roman"/>
          <w:b/>
          <w:i/>
          <w:color w:val="auto"/>
          <w:sz w:val="24"/>
          <w:szCs w:val="24"/>
        </w:rPr>
        <w:t>parachutes</w:t>
      </w:r>
      <w:proofErr w:type="spellEnd"/>
      <w:r w:rsidR="00105DAC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C2377" w:rsidRPr="004B0196">
        <w:rPr>
          <w:rFonts w:ascii="Times New Roman" w:hAnsi="Times New Roman" w:cs="Times New Roman"/>
          <w:color w:val="auto"/>
          <w:sz w:val="24"/>
          <w:szCs w:val="24"/>
        </w:rPr>
        <w:t>pattuiti in vista o in occasione della conclusione an</w:t>
      </w:r>
      <w:r w:rsidR="00105DAC" w:rsidRPr="004B0196">
        <w:rPr>
          <w:rFonts w:ascii="Times New Roman" w:hAnsi="Times New Roman" w:cs="Times New Roman"/>
          <w:color w:val="auto"/>
          <w:sz w:val="24"/>
          <w:szCs w:val="24"/>
        </w:rPr>
        <w:t>ticipata del rapporto di lavoro e gli</w:t>
      </w:r>
      <w:r w:rsidR="000C2377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2377" w:rsidRPr="004B0196">
        <w:rPr>
          <w:rFonts w:ascii="Times New Roman" w:hAnsi="Times New Roman" w:cs="Times New Roman"/>
          <w:b/>
          <w:i/>
          <w:color w:val="auto"/>
          <w:sz w:val="24"/>
          <w:szCs w:val="24"/>
        </w:rPr>
        <w:t>incentivi all’esodo</w:t>
      </w:r>
      <w:r w:rsidR="000C2377" w:rsidRPr="004B0196">
        <w:rPr>
          <w:rFonts w:ascii="Times New Roman" w:hAnsi="Times New Roman" w:cs="Times New Roman"/>
          <w:color w:val="auto"/>
          <w:sz w:val="24"/>
          <w:szCs w:val="24"/>
        </w:rPr>
        <w:t>, erogat</w:t>
      </w:r>
      <w:r w:rsidR="00105DAC" w:rsidRPr="004B019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C2377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in occasione della cessazione del rapporto di lavoro.</w:t>
      </w:r>
      <w:r w:rsidR="00105DAC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FDC5199" w14:textId="409ACAAA" w:rsidR="000C2377" w:rsidRPr="004B0196" w:rsidRDefault="00580509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Nel corso dell’esercizio </w:t>
      </w:r>
      <w:r w:rsidR="002C50FE" w:rsidRPr="004B0196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17DE" w:rsidRPr="004B0196">
        <w:rPr>
          <w:rFonts w:ascii="Times New Roman" w:hAnsi="Times New Roman" w:cs="Times New Roman"/>
          <w:color w:val="auto"/>
          <w:sz w:val="24"/>
          <w:szCs w:val="24"/>
        </w:rPr>
        <w:t>non sono state erogati compensi di tale natura.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F41612" w14:textId="77777777" w:rsidR="00184F8D" w:rsidRPr="004B0196" w:rsidRDefault="00184F8D" w:rsidP="007A17DE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A1178E6" w14:textId="3D7E0E37" w:rsidR="00F04F40" w:rsidRPr="004B0196" w:rsidRDefault="00F04F40" w:rsidP="007A17DE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La remunerazione </w:t>
      </w:r>
      <w:r w:rsidR="003C78BC" w:rsidRPr="004B0196">
        <w:rPr>
          <w:rFonts w:ascii="Times New Roman" w:hAnsi="Times New Roman" w:cs="Times New Roman"/>
          <w:b/>
          <w:color w:val="auto"/>
          <w:sz w:val="24"/>
          <w:szCs w:val="24"/>
        </w:rPr>
        <w:t>degli</w:t>
      </w:r>
      <w:r w:rsidRPr="004B0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C78BC" w:rsidRPr="004B0196">
        <w:rPr>
          <w:rFonts w:ascii="Times New Roman" w:hAnsi="Times New Roman" w:cs="Times New Roman"/>
          <w:b/>
          <w:color w:val="auto"/>
          <w:sz w:val="24"/>
          <w:szCs w:val="24"/>
        </w:rPr>
        <w:t>agenti in attività finanziaria, agenti di assicurazione e consulenti finanziari abilitati all’offerta fuori sede</w:t>
      </w:r>
      <w:r w:rsidRPr="004B0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0CBE42C" w14:textId="40BE53B9" w:rsidR="000D58E0" w:rsidRPr="004B0196" w:rsidRDefault="007A17DE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Nel 2019 la Banca non ha avuto fattispecie per cui erogare tale tipo di remunerazione</w:t>
      </w:r>
    </w:p>
    <w:p w14:paraId="0CA7C318" w14:textId="77777777" w:rsidR="00184F8D" w:rsidRPr="004B0196" w:rsidRDefault="00184F8D" w:rsidP="007A17DE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C6CFD7C" w14:textId="02F85A2B" w:rsidR="00EE45E9" w:rsidRPr="004B0196" w:rsidRDefault="00EE45E9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b/>
          <w:color w:val="auto"/>
          <w:sz w:val="24"/>
          <w:szCs w:val="24"/>
        </w:rPr>
        <w:t>Modalità di corresponsione della remunerazione variabile</w:t>
      </w:r>
    </w:p>
    <w:p w14:paraId="65D2AEAF" w14:textId="77777777" w:rsidR="007A17DE" w:rsidRPr="004B0196" w:rsidRDefault="007A17DE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Coerentemente a quanto previsto dalle Disposizioni, la Banca non ha applicato alla remunerazione del personale più rilevante i differimenti previsto dalla politica di remunerazione, in quanto non si sono verificati i presupposti per la loro attuazione. </w:t>
      </w:r>
    </w:p>
    <w:p w14:paraId="5E84504E" w14:textId="77777777" w:rsidR="007A17DE" w:rsidRPr="004B0196" w:rsidRDefault="007A17DE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Sono inoltre previsti meccanismi di aggiustamento al rischio (</w:t>
      </w:r>
      <w:proofErr w:type="spellStart"/>
      <w:r w:rsidRPr="004B0196">
        <w:rPr>
          <w:rFonts w:ascii="Times New Roman" w:hAnsi="Times New Roman" w:cs="Times New Roman"/>
          <w:color w:val="auto"/>
          <w:sz w:val="24"/>
          <w:szCs w:val="24"/>
        </w:rPr>
        <w:t>malus</w:t>
      </w:r>
      <w:proofErr w:type="spellEnd"/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Pr="004B0196">
        <w:rPr>
          <w:rFonts w:ascii="Times New Roman" w:hAnsi="Times New Roman" w:cs="Times New Roman"/>
          <w:color w:val="auto"/>
          <w:sz w:val="24"/>
          <w:szCs w:val="24"/>
        </w:rPr>
        <w:t>claw</w:t>
      </w:r>
      <w:proofErr w:type="spellEnd"/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back) per il personale più rilevante. </w:t>
      </w:r>
    </w:p>
    <w:p w14:paraId="1509AD49" w14:textId="4CA96577" w:rsidR="007A17DE" w:rsidRPr="004B0196" w:rsidRDefault="007A17DE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Nessuna delle componenti variabili è stata corrisposta attraverso azioni, strumenti collegati alle azioni e altre tipologie assimilabili.</w:t>
      </w:r>
    </w:p>
    <w:p w14:paraId="19A65907" w14:textId="2A47DBD2" w:rsidR="004B0196" w:rsidRDefault="004B0196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1C8C2A2" w14:textId="05457119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410833A" w14:textId="6060A8CB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73862C9" w14:textId="228BE88D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C6532BA" w14:textId="13DF0D67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F11E149" w14:textId="0BF44750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5608295" w14:textId="39C03CF8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EEFC73E" w14:textId="41752903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6B33D2B" w14:textId="339B2A62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2B5BF86" w14:textId="1DE78E47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749FE34" w14:textId="557599D5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B9B660F" w14:textId="3B9CE611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D32F01F" w14:textId="18F39F77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53964E2" w14:textId="3CAFFB2A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6433C0B" w14:textId="4124D847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D89E91F" w14:textId="57F6D499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346DA42" w14:textId="01C9578B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430243F" w14:textId="751A3E07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ACA79F3" w14:textId="6D564BE6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2AAB722" w14:textId="4AA569EF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6DDE16C" w14:textId="336DFE37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DBE5475" w14:textId="704F3CFB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E36857" w14:textId="0475BB6F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3A447CC" w14:textId="3098C60A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FF24871" w14:textId="5B4D8BC1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8F7488C" w14:textId="65EE8667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AA70B7E" w14:textId="199BE844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D2A3A92" w14:textId="1D632B24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07AB516" w14:textId="3F753EB7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FF3CF3F" w14:textId="656C8645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F67E248" w14:textId="315D4E29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38C496B" w14:textId="77777777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6B47C8E" w14:textId="5E3B5095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48F5619" w14:textId="0EAA9B7A" w:rsidR="008F1D13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21B4733" w14:textId="77777777" w:rsidR="008F1D13" w:rsidRPr="007A17DE" w:rsidRDefault="008F1D13" w:rsidP="007A17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5F9746E" w14:textId="246D51C9" w:rsidR="00007042" w:rsidRPr="008F1D13" w:rsidRDefault="000D010E" w:rsidP="00184F8D">
      <w:pPr>
        <w:pStyle w:val="Titolo1"/>
        <w:spacing w:before="0" w:after="0"/>
        <w:rPr>
          <w:rFonts w:ascii="Times New Roman" w:hAnsi="Times New Roman" w:cs="Times New Roman"/>
          <w:color w:val="auto"/>
          <w:sz w:val="36"/>
        </w:rPr>
      </w:pPr>
      <w:bookmarkStart w:id="17" w:name="_Toc38466980"/>
      <w:r w:rsidRPr="008F1D13">
        <w:rPr>
          <w:rFonts w:ascii="Times New Roman" w:hAnsi="Times New Roman" w:cs="Times New Roman"/>
          <w:color w:val="auto"/>
          <w:sz w:val="36"/>
        </w:rPr>
        <w:t>3</w:t>
      </w:r>
      <w:r w:rsidR="00007042" w:rsidRPr="008F1D13">
        <w:rPr>
          <w:rFonts w:ascii="Times New Roman" w:hAnsi="Times New Roman" w:cs="Times New Roman"/>
          <w:color w:val="auto"/>
          <w:sz w:val="36"/>
        </w:rPr>
        <w:t xml:space="preserve">. </w:t>
      </w:r>
      <w:bookmarkStart w:id="18" w:name="_Hlk38382547"/>
      <w:r w:rsidRPr="008F1D13">
        <w:rPr>
          <w:rFonts w:ascii="Times New Roman" w:hAnsi="Times New Roman" w:cs="Times New Roman"/>
          <w:color w:val="auto"/>
          <w:sz w:val="36"/>
        </w:rPr>
        <w:t>Informativa quantitativa</w:t>
      </w:r>
      <w:bookmarkEnd w:id="17"/>
      <w:r w:rsidRPr="008F1D13">
        <w:rPr>
          <w:rFonts w:ascii="Times New Roman" w:hAnsi="Times New Roman" w:cs="Times New Roman"/>
          <w:color w:val="auto"/>
          <w:sz w:val="36"/>
        </w:rPr>
        <w:t xml:space="preserve"> </w:t>
      </w:r>
      <w:bookmarkEnd w:id="18"/>
    </w:p>
    <w:p w14:paraId="19CD42C0" w14:textId="77777777" w:rsidR="008F1D13" w:rsidRDefault="008F1D13" w:rsidP="004B0196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DF47648" w14:textId="5312F852" w:rsidR="00C03209" w:rsidRPr="00184F8D" w:rsidRDefault="00C03209" w:rsidP="004B0196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In accordo con quanto definito dalle Disposizioni di Vigilanza e con le Politiche di remunerazione </w:t>
      </w:r>
      <w:r w:rsidR="00EB3CD3" w:rsidRPr="004B0196">
        <w:rPr>
          <w:rFonts w:ascii="Times New Roman" w:hAnsi="Times New Roman" w:cs="Times New Roman"/>
          <w:color w:val="auto"/>
          <w:sz w:val="24"/>
          <w:szCs w:val="24"/>
        </w:rPr>
        <w:t>in vigore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con riferimento all</w:t>
      </w:r>
      <w:r w:rsidR="007B1E05" w:rsidRPr="004B0196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esercizio </w:t>
      </w:r>
      <w:r w:rsidR="002C50FE" w:rsidRPr="004B0196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="000D010E" w:rsidRPr="004B0196">
        <w:rPr>
          <w:rFonts w:ascii="Times New Roman" w:hAnsi="Times New Roman" w:cs="Times New Roman"/>
          <w:color w:val="auto"/>
          <w:sz w:val="24"/>
          <w:szCs w:val="24"/>
        </w:rPr>
        <w:t>, si riportano le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informazioni </w:t>
      </w:r>
      <w:r w:rsidR="000D010E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quantitative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riguardanti l</w:t>
      </w:r>
      <w:r w:rsidR="00EE45E9" w:rsidRPr="004B0196">
        <w:rPr>
          <w:rFonts w:ascii="Times New Roman" w:hAnsi="Times New Roman" w:cs="Times New Roman"/>
          <w:color w:val="auto"/>
          <w:sz w:val="24"/>
          <w:szCs w:val="24"/>
        </w:rPr>
        <w:t>’a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>ttuazione d</w:t>
      </w:r>
      <w:r w:rsidR="000D010E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elle </w:t>
      </w:r>
      <w:r w:rsidR="004F6D64" w:rsidRPr="004B019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0D010E" w:rsidRPr="004B0196">
        <w:rPr>
          <w:rFonts w:ascii="Times New Roman" w:hAnsi="Times New Roman" w:cs="Times New Roman"/>
          <w:color w:val="auto"/>
          <w:sz w:val="24"/>
          <w:szCs w:val="24"/>
        </w:rPr>
        <w:t>olitiche di remunerazione</w:t>
      </w:r>
      <w:r w:rsidR="000D010E" w:rsidRPr="00184F8D">
        <w:rPr>
          <w:rFonts w:ascii="Times New Roman" w:hAnsi="Times New Roman" w:cs="Times New Roman"/>
          <w:color w:val="auto"/>
        </w:rPr>
        <w:t>.</w:t>
      </w:r>
    </w:p>
    <w:p w14:paraId="66D540FB" w14:textId="77777777" w:rsidR="00B769D5" w:rsidRDefault="00B769D5" w:rsidP="000D010E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left"/>
        <w:rPr>
          <w:b/>
        </w:rPr>
      </w:pPr>
    </w:p>
    <w:p w14:paraId="50E65F4A" w14:textId="77777777" w:rsidR="004B0196" w:rsidRPr="004B0196" w:rsidRDefault="004B0196" w:rsidP="004B0196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b/>
          <w:color w:val="auto"/>
          <w:sz w:val="24"/>
          <w:szCs w:val="24"/>
        </w:rPr>
        <w:t>Sistemi e prassi di remunerazione e incentivazione informazioni quantitative aggregate per tutto il personale della banca</w:t>
      </w:r>
    </w:p>
    <w:p w14:paraId="57CDF521" w14:textId="77777777" w:rsidR="00B769D5" w:rsidRPr="004B0196" w:rsidRDefault="00B769D5" w:rsidP="00B769D5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Art. 450 CRR, primo comma, lettera g)</w:t>
      </w:r>
    </w:p>
    <w:p w14:paraId="628EC251" w14:textId="09569BA0" w:rsidR="00B769D5" w:rsidRDefault="00B769D5" w:rsidP="000D010E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left"/>
        <w:rPr>
          <w:color w:val="C00000"/>
        </w:rPr>
      </w:pPr>
    </w:p>
    <w:p w14:paraId="5A9D0BBC" w14:textId="59BF6E99" w:rsidR="004B0196" w:rsidRDefault="004B0196" w:rsidP="000D010E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left"/>
        <w:rPr>
          <w:color w:val="C00000"/>
        </w:rPr>
      </w:pPr>
      <w:r w:rsidRPr="004B0196">
        <w:drawing>
          <wp:inline distT="0" distB="0" distL="0" distR="0" wp14:anchorId="56394C3A" wp14:editId="13450437">
            <wp:extent cx="5010150" cy="1802765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16651" w14:textId="125A5EB2" w:rsidR="00184F8D" w:rsidRDefault="00184F8D" w:rsidP="000D010E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left"/>
        <w:rPr>
          <w:color w:val="C00000"/>
        </w:rPr>
      </w:pPr>
    </w:p>
    <w:p w14:paraId="236CD81C" w14:textId="77777777" w:rsidR="004B0196" w:rsidRPr="004B0196" w:rsidRDefault="004B0196" w:rsidP="004B0196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Informazioni aggregate per il personale più rilevante del gruppo informazioni suddivise tra la componente fissa e variabile </w:t>
      </w:r>
    </w:p>
    <w:p w14:paraId="4033D645" w14:textId="014E409B" w:rsidR="000D010E" w:rsidRPr="004B0196" w:rsidRDefault="000D010E" w:rsidP="004B0196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Art. 450 CRR, primo comma, lettera h)</w:t>
      </w:r>
      <w:r w:rsidR="00184F8D"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sub 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="00184F8D" w:rsidRPr="004B0196">
        <w:rPr>
          <w:rFonts w:ascii="Times New Roman" w:hAnsi="Times New Roman" w:cs="Times New Roman"/>
          <w:color w:val="auto"/>
          <w:sz w:val="24"/>
          <w:szCs w:val="24"/>
        </w:rPr>
        <w:t>) e sub ii)</w:t>
      </w:r>
    </w:p>
    <w:p w14:paraId="1FAFFA4C" w14:textId="77777777" w:rsidR="000D010E" w:rsidRPr="0068673A" w:rsidRDefault="000D010E" w:rsidP="000D010E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left"/>
        <w:rPr>
          <w:color w:val="C00000"/>
        </w:rPr>
      </w:pPr>
    </w:p>
    <w:p w14:paraId="40F50C0C" w14:textId="6FE07AD8" w:rsidR="00184F8D" w:rsidRDefault="00184F8D" w:rsidP="000D010E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left"/>
        <w:rPr>
          <w:color w:val="C00000"/>
        </w:rPr>
      </w:pPr>
      <w:r w:rsidRPr="00184F8D">
        <w:drawing>
          <wp:inline distT="0" distB="0" distL="0" distR="0" wp14:anchorId="71A458AA" wp14:editId="3DC554E6">
            <wp:extent cx="6661150" cy="1699042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69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614BE" w14:textId="30C682D5" w:rsidR="00184F8D" w:rsidRDefault="00184F8D" w:rsidP="000D010E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left"/>
        <w:rPr>
          <w:color w:val="C00000"/>
        </w:rPr>
      </w:pPr>
    </w:p>
    <w:p w14:paraId="476DBC7F" w14:textId="77777777" w:rsidR="004B0196" w:rsidRPr="00A43A39" w:rsidRDefault="004B0196" w:rsidP="004B0196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C2B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Informazioni quantitative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sulle q</w:t>
      </w:r>
      <w:r w:rsidRPr="00A43A39">
        <w:rPr>
          <w:rFonts w:ascii="Times New Roman" w:hAnsi="Times New Roman"/>
          <w:b/>
          <w:bCs/>
          <w:color w:val="auto"/>
          <w:sz w:val="24"/>
          <w:szCs w:val="24"/>
        </w:rPr>
        <w:t xml:space="preserve">uote di remunerazione differite </w:t>
      </w:r>
    </w:p>
    <w:p w14:paraId="57E51FAA" w14:textId="31FCB7C7" w:rsidR="004B0196" w:rsidRPr="00A43A39" w:rsidRDefault="004B0196" w:rsidP="004B019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A43A39">
        <w:rPr>
          <w:rFonts w:ascii="Times New Roman" w:hAnsi="Times New Roman"/>
          <w:color w:val="auto"/>
          <w:sz w:val="24"/>
          <w:szCs w:val="24"/>
        </w:rPr>
        <w:t xml:space="preserve">L'informativa richiesta ai sensi dell'art. 450, </w:t>
      </w:r>
      <w:proofErr w:type="spellStart"/>
      <w:r w:rsidRPr="00A43A39">
        <w:rPr>
          <w:rFonts w:ascii="Times New Roman" w:hAnsi="Times New Roman"/>
          <w:color w:val="auto"/>
          <w:sz w:val="24"/>
          <w:szCs w:val="24"/>
        </w:rPr>
        <w:t>lett</w:t>
      </w:r>
      <w:proofErr w:type="spellEnd"/>
      <w:r w:rsidRPr="00A43A39">
        <w:rPr>
          <w:rFonts w:ascii="Times New Roman" w:hAnsi="Times New Roman"/>
          <w:color w:val="auto"/>
          <w:sz w:val="24"/>
          <w:szCs w:val="24"/>
        </w:rPr>
        <w:t>. H), sub iii) e iv) non viene fornita in qu</w:t>
      </w:r>
      <w:r>
        <w:rPr>
          <w:rFonts w:ascii="Times New Roman" w:hAnsi="Times New Roman"/>
          <w:color w:val="auto"/>
          <w:sz w:val="24"/>
          <w:szCs w:val="24"/>
        </w:rPr>
        <w:t>anto la banca nel corso del 201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A43A39">
        <w:rPr>
          <w:rFonts w:ascii="Times New Roman" w:hAnsi="Times New Roman"/>
          <w:color w:val="auto"/>
          <w:sz w:val="24"/>
          <w:szCs w:val="24"/>
        </w:rPr>
        <w:t xml:space="preserve"> e in quelli precedenti, non ha accordato quote di remunerazione differite al personale più rilevante.</w:t>
      </w:r>
    </w:p>
    <w:p w14:paraId="0BFC9A32" w14:textId="77777777" w:rsidR="004B0196" w:rsidRDefault="004B0196" w:rsidP="004B0196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74B4370B" w14:textId="77777777" w:rsidR="004B0196" w:rsidRPr="00A43A39" w:rsidRDefault="004B0196" w:rsidP="004B0196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C2B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Informazioni quantitative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sulle i</w:t>
      </w:r>
      <w:r w:rsidRPr="00A43A39">
        <w:rPr>
          <w:rFonts w:ascii="Times New Roman" w:hAnsi="Times New Roman"/>
          <w:b/>
          <w:bCs/>
          <w:color w:val="auto"/>
          <w:sz w:val="24"/>
          <w:szCs w:val="24"/>
        </w:rPr>
        <w:t>ndennità di inizio e fine rapporto</w:t>
      </w:r>
    </w:p>
    <w:p w14:paraId="40B09AC1" w14:textId="63F76134" w:rsidR="004B0196" w:rsidRPr="00A43A39" w:rsidRDefault="004B0196" w:rsidP="004B019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A43A39">
        <w:rPr>
          <w:rFonts w:ascii="Times New Roman" w:hAnsi="Times New Roman"/>
          <w:color w:val="auto"/>
          <w:sz w:val="24"/>
          <w:szCs w:val="24"/>
        </w:rPr>
        <w:t xml:space="preserve">L'informativa richiesta ai sensi dell'art. 450, </w:t>
      </w:r>
      <w:proofErr w:type="spellStart"/>
      <w:r w:rsidRPr="00A43A39">
        <w:rPr>
          <w:rFonts w:ascii="Times New Roman" w:hAnsi="Times New Roman"/>
          <w:color w:val="auto"/>
          <w:sz w:val="24"/>
          <w:szCs w:val="24"/>
        </w:rPr>
        <w:t>lett</w:t>
      </w:r>
      <w:proofErr w:type="spellEnd"/>
      <w:r w:rsidRPr="00A43A39">
        <w:rPr>
          <w:rFonts w:ascii="Times New Roman" w:hAnsi="Times New Roman"/>
          <w:color w:val="auto"/>
          <w:sz w:val="24"/>
          <w:szCs w:val="24"/>
        </w:rPr>
        <w:t>. H), sub v) e vi) non viene fornita in quanto in banca nel corso del 201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A43A39">
        <w:rPr>
          <w:rFonts w:ascii="Times New Roman" w:hAnsi="Times New Roman"/>
          <w:color w:val="auto"/>
          <w:sz w:val="24"/>
          <w:szCs w:val="24"/>
        </w:rPr>
        <w:t xml:space="preserve"> non ha eseguito o differito la corresponsione di tali tipi di indennità al personale più rilevante</w:t>
      </w:r>
    </w:p>
    <w:p w14:paraId="522DBE65" w14:textId="77777777" w:rsidR="004B0196" w:rsidRDefault="004B0196" w:rsidP="004B0196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FEE1231" w14:textId="77777777" w:rsidR="004B0196" w:rsidRPr="00A43A39" w:rsidRDefault="004B0196" w:rsidP="004B0196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C2B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Informazioni quantitative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sulle r</w:t>
      </w:r>
      <w:r w:rsidRPr="00A43A39">
        <w:rPr>
          <w:rFonts w:ascii="Times New Roman" w:hAnsi="Times New Roman"/>
          <w:b/>
          <w:bCs/>
          <w:color w:val="auto"/>
          <w:sz w:val="24"/>
          <w:szCs w:val="24"/>
        </w:rPr>
        <w:t>emunerazione extra soglia</w:t>
      </w:r>
    </w:p>
    <w:p w14:paraId="2B3CB20D" w14:textId="77777777" w:rsidR="004B0196" w:rsidRPr="00A43A39" w:rsidRDefault="004B0196" w:rsidP="004B019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A43A39">
        <w:rPr>
          <w:rFonts w:ascii="Times New Roman" w:hAnsi="Times New Roman"/>
          <w:color w:val="auto"/>
          <w:sz w:val="24"/>
          <w:szCs w:val="24"/>
        </w:rPr>
        <w:t xml:space="preserve">L'informativa richiesta ai sensi dell'art. 450, </w:t>
      </w:r>
      <w:proofErr w:type="spellStart"/>
      <w:r w:rsidRPr="00A43A39">
        <w:rPr>
          <w:rFonts w:ascii="Times New Roman" w:hAnsi="Times New Roman"/>
          <w:color w:val="auto"/>
          <w:sz w:val="24"/>
          <w:szCs w:val="24"/>
        </w:rPr>
        <w:t>lett</w:t>
      </w:r>
      <w:proofErr w:type="spellEnd"/>
      <w:r w:rsidRPr="00A43A39">
        <w:rPr>
          <w:rFonts w:ascii="Times New Roman" w:hAnsi="Times New Roman"/>
          <w:color w:val="auto"/>
          <w:sz w:val="24"/>
          <w:szCs w:val="24"/>
        </w:rPr>
        <w:t>. i) non viene fornita in quanto in banca non sono presenti soggetti che beneficiano o hanno beneficiato di retribuzione annua pari o superiore ad 1 mln di euro.</w:t>
      </w:r>
    </w:p>
    <w:p w14:paraId="77318CF6" w14:textId="77777777" w:rsidR="00CA5018" w:rsidRDefault="00CA5018" w:rsidP="004E7E6F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left"/>
        <w:rPr>
          <w:b/>
        </w:rPr>
      </w:pPr>
    </w:p>
    <w:p w14:paraId="53D238DF" w14:textId="4632573C" w:rsidR="004E7E6F" w:rsidRPr="004B0196" w:rsidRDefault="004E7E6F" w:rsidP="004E7E6F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Informazioni quantitative per il Consiglio di Amministrazione e la Direzione </w:t>
      </w:r>
      <w:r w:rsidR="00B769D5" w:rsidRPr="004B0196">
        <w:rPr>
          <w:rFonts w:ascii="Times New Roman" w:hAnsi="Times New Roman" w:cs="Times New Roman"/>
          <w:b/>
          <w:color w:val="auto"/>
          <w:sz w:val="24"/>
          <w:szCs w:val="24"/>
        </w:rPr>
        <w:t>Generale</w:t>
      </w:r>
    </w:p>
    <w:p w14:paraId="30646FC5" w14:textId="788DD03C" w:rsidR="000D010E" w:rsidRPr="004B0196" w:rsidRDefault="004E7E6F" w:rsidP="00765181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459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B0196">
        <w:rPr>
          <w:rFonts w:ascii="Times New Roman" w:hAnsi="Times New Roman" w:cs="Times New Roman"/>
          <w:color w:val="auto"/>
          <w:sz w:val="24"/>
          <w:szCs w:val="24"/>
        </w:rPr>
        <w:t>Art. 450 CRR, primo comma, lettera j)</w:t>
      </w:r>
      <w:r w:rsidRPr="004B0196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37A7AD1" w14:textId="588FA5B2" w:rsidR="004B0196" w:rsidRPr="004B0196" w:rsidRDefault="004B0196" w:rsidP="00765181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459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9D4800C" w14:textId="03A35F9D" w:rsidR="004B0196" w:rsidRPr="000D010E" w:rsidRDefault="004B0196" w:rsidP="00765181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4595"/>
        </w:tabs>
        <w:autoSpaceDE w:val="0"/>
        <w:autoSpaceDN w:val="0"/>
        <w:adjustRightInd w:val="0"/>
        <w:spacing w:after="0" w:line="240" w:lineRule="auto"/>
        <w:jc w:val="left"/>
      </w:pPr>
      <w:r w:rsidRPr="004B0196">
        <w:drawing>
          <wp:inline distT="0" distB="0" distL="0" distR="0" wp14:anchorId="79D9FF20" wp14:editId="4EBEAA98">
            <wp:extent cx="5428615" cy="4276090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42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196" w:rsidRPr="000D010E" w:rsidSect="00A40FFE">
      <w:headerReference w:type="default" r:id="rId12"/>
      <w:footerReference w:type="even" r:id="rId13"/>
      <w:footerReference w:type="default" r:id="rId14"/>
      <w:pgSz w:w="11906" w:h="16838"/>
      <w:pgMar w:top="2034" w:right="708" w:bottom="1559" w:left="708" w:header="283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8A05C" w14:textId="77777777" w:rsidR="00A80528" w:rsidRDefault="00A80528" w:rsidP="00683DF5">
      <w:r>
        <w:separator/>
      </w:r>
    </w:p>
  </w:endnote>
  <w:endnote w:type="continuationSeparator" w:id="0">
    <w:p w14:paraId="7CECFCA3" w14:textId="77777777" w:rsidR="00A80528" w:rsidRDefault="00A80528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Titoli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85310611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107A6F6" w14:textId="77777777" w:rsidR="009A6DDE" w:rsidRDefault="009A6DDE" w:rsidP="009A6DDE">
        <w:pPr>
          <w:pStyle w:val="Pidipagina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D9D18E9" w14:textId="77777777" w:rsidR="009A6DDE" w:rsidRDefault="009A6DDE" w:rsidP="009A6D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55666214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8D78DCF" w14:textId="6A9CF739" w:rsidR="007C159A" w:rsidRPr="009A6DDE" w:rsidRDefault="009A6DDE" w:rsidP="009A6DDE">
        <w:pPr>
          <w:pStyle w:val="Pidipagina"/>
        </w:pPr>
        <w:r w:rsidRPr="009A6DDE">
          <w:rPr>
            <w:rStyle w:val="Numeropagina"/>
          </w:rPr>
          <w:fldChar w:fldCharType="begin"/>
        </w:r>
        <w:r w:rsidRPr="009A6DDE">
          <w:rPr>
            <w:rStyle w:val="Numeropagina"/>
          </w:rPr>
          <w:instrText xml:space="preserve"> PAGE </w:instrText>
        </w:r>
        <w:r w:rsidRPr="009A6DDE">
          <w:rPr>
            <w:rStyle w:val="Numeropagina"/>
          </w:rPr>
          <w:fldChar w:fldCharType="separate"/>
        </w:r>
        <w:r w:rsidR="00891A9B">
          <w:rPr>
            <w:rStyle w:val="Numeropagina"/>
            <w:noProof/>
          </w:rPr>
          <w:t>9</w:t>
        </w:r>
        <w:r w:rsidRPr="009A6DDE">
          <w:rPr>
            <w:rStyle w:val="Numeropagin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68A3F" w14:textId="77777777" w:rsidR="00A80528" w:rsidRDefault="00A80528" w:rsidP="00683DF5">
      <w:r>
        <w:separator/>
      </w:r>
    </w:p>
  </w:footnote>
  <w:footnote w:type="continuationSeparator" w:id="0">
    <w:p w14:paraId="26D8C51A" w14:textId="77777777" w:rsidR="00A80528" w:rsidRDefault="00A80528" w:rsidP="00683DF5">
      <w:r>
        <w:continuationSeparator/>
      </w:r>
    </w:p>
  </w:footnote>
  <w:footnote w:id="1">
    <w:p w14:paraId="469249EE" w14:textId="77777777" w:rsidR="00E07882" w:rsidRPr="00891A9B" w:rsidRDefault="00E07882">
      <w:pPr>
        <w:pStyle w:val="Testonotaapidipagina"/>
        <w:rPr>
          <w:rFonts w:ascii="Times New Roman" w:hAnsi="Times New Roman" w:cs="Times New Roman"/>
        </w:rPr>
      </w:pPr>
      <w:bookmarkStart w:id="15" w:name="_GoBack"/>
      <w:r w:rsidRPr="00891A9B">
        <w:rPr>
          <w:rStyle w:val="Rimandonotaapidipagina"/>
          <w:rFonts w:ascii="Times New Roman" w:hAnsi="Times New Roman" w:cs="Times New Roman"/>
          <w:color w:val="auto"/>
        </w:rPr>
        <w:footnoteRef/>
      </w:r>
      <w:r w:rsidRPr="00891A9B">
        <w:rPr>
          <w:rFonts w:ascii="Times New Roman" w:hAnsi="Times New Roman" w:cs="Times New Roman"/>
          <w:color w:val="auto"/>
        </w:rPr>
        <w:t xml:space="preserve"> Parte prima, Titolo IV, Capitolo 2, Sezione VI- Obblighi di informativa e di trasmissione dei dati. </w:t>
      </w:r>
      <w:bookmarkEnd w:id="1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C9774" w14:textId="33D1BC90" w:rsidR="0085566F" w:rsidRDefault="0085566F" w:rsidP="007C159A">
    <w:pPr>
      <w:shd w:val="clear" w:color="auto" w:fill="auto"/>
      <w:ind w:right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5CE"/>
    <w:multiLevelType w:val="hybridMultilevel"/>
    <w:tmpl w:val="BA748EDE"/>
    <w:lvl w:ilvl="0" w:tplc="5E78814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868"/>
    <w:multiLevelType w:val="hybridMultilevel"/>
    <w:tmpl w:val="DDB4D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2989"/>
    <w:multiLevelType w:val="hybridMultilevel"/>
    <w:tmpl w:val="1B66930C"/>
    <w:lvl w:ilvl="0" w:tplc="04100001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772D"/>
    <w:multiLevelType w:val="hybridMultilevel"/>
    <w:tmpl w:val="77FA3D9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6D81"/>
    <w:multiLevelType w:val="hybridMultilevel"/>
    <w:tmpl w:val="6A4EBA64"/>
    <w:lvl w:ilvl="0" w:tplc="04100005">
      <w:start w:val="1"/>
      <w:numFmt w:val="bullet"/>
      <w:lvlText w:val=""/>
      <w:lvlJc w:val="left"/>
      <w:pPr>
        <w:tabs>
          <w:tab w:val="num" w:pos="810"/>
        </w:tabs>
        <w:ind w:left="810" w:hanging="45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A326C"/>
    <w:multiLevelType w:val="hybridMultilevel"/>
    <w:tmpl w:val="1A9AF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20FF"/>
    <w:multiLevelType w:val="hybridMultilevel"/>
    <w:tmpl w:val="4E56A360"/>
    <w:lvl w:ilvl="0" w:tplc="5E78814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</w:rPr>
    </w:lvl>
    <w:lvl w:ilvl="1" w:tplc="5E788144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Helv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A3569"/>
    <w:multiLevelType w:val="hybridMultilevel"/>
    <w:tmpl w:val="6D909B46"/>
    <w:lvl w:ilvl="0" w:tplc="573E5B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E50080"/>
    <w:multiLevelType w:val="hybridMultilevel"/>
    <w:tmpl w:val="63181A0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64E05"/>
    <w:multiLevelType w:val="hybridMultilevel"/>
    <w:tmpl w:val="847AA2B0"/>
    <w:lvl w:ilvl="0" w:tplc="BCEE99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277058"/>
    <w:multiLevelType w:val="hybridMultilevel"/>
    <w:tmpl w:val="F4B0B830"/>
    <w:lvl w:ilvl="0" w:tplc="D958A2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E0B2D"/>
    <w:multiLevelType w:val="hybridMultilevel"/>
    <w:tmpl w:val="EC06280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0A5CF9"/>
    <w:multiLevelType w:val="hybridMultilevel"/>
    <w:tmpl w:val="067E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611"/>
    <w:multiLevelType w:val="multilevel"/>
    <w:tmpl w:val="FB1E53CC"/>
    <w:styleLink w:val="Stile1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588" w:hanging="454"/>
      </w:pPr>
      <w:rPr>
        <w:rFonts w:hint="default"/>
        <w:b/>
        <w:i w:val="0"/>
        <w:color w:val="454545"/>
      </w:rPr>
    </w:lvl>
    <w:lvl w:ilvl="2">
      <w:start w:val="1"/>
      <w:numFmt w:val="decimal"/>
      <w:lvlText w:val="%3"/>
      <w:lvlJc w:val="left"/>
      <w:pPr>
        <w:ind w:left="2155" w:hanging="454"/>
      </w:pPr>
      <w:rPr>
        <w:rFonts w:hint="default"/>
        <w:color w:val="454545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4" w15:restartNumberingAfterBreak="0">
    <w:nsid w:val="47F076DE"/>
    <w:multiLevelType w:val="hybridMultilevel"/>
    <w:tmpl w:val="35FC8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F5397"/>
    <w:multiLevelType w:val="hybridMultilevel"/>
    <w:tmpl w:val="1B14532C"/>
    <w:lvl w:ilvl="0" w:tplc="5E78814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81374"/>
    <w:multiLevelType w:val="hybridMultilevel"/>
    <w:tmpl w:val="ED1E52A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2BB2640"/>
    <w:multiLevelType w:val="hybridMultilevel"/>
    <w:tmpl w:val="6CD82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2758A"/>
    <w:multiLevelType w:val="hybridMultilevel"/>
    <w:tmpl w:val="25B62260"/>
    <w:lvl w:ilvl="0" w:tplc="112285FC">
      <w:start w:val="1"/>
      <w:numFmt w:val="bullet"/>
      <w:pStyle w:val="Bullet1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1418C"/>
    <w:multiLevelType w:val="hybridMultilevel"/>
    <w:tmpl w:val="D76CD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A7D22"/>
    <w:multiLevelType w:val="hybridMultilevel"/>
    <w:tmpl w:val="FF74A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03FDF"/>
    <w:multiLevelType w:val="hybridMultilevel"/>
    <w:tmpl w:val="24C63E04"/>
    <w:lvl w:ilvl="0" w:tplc="5E78814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47AD0"/>
    <w:multiLevelType w:val="hybridMultilevel"/>
    <w:tmpl w:val="96E8D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286"/>
    <w:multiLevelType w:val="hybridMultilevel"/>
    <w:tmpl w:val="8CEE2A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47B02"/>
    <w:multiLevelType w:val="hybridMultilevel"/>
    <w:tmpl w:val="828CC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404A3"/>
    <w:multiLevelType w:val="hybridMultilevel"/>
    <w:tmpl w:val="452AA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209CD"/>
    <w:multiLevelType w:val="hybridMultilevel"/>
    <w:tmpl w:val="5172D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554CE"/>
    <w:multiLevelType w:val="hybridMultilevel"/>
    <w:tmpl w:val="3042D2A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7F95CC6"/>
    <w:multiLevelType w:val="hybridMultilevel"/>
    <w:tmpl w:val="C0D40B1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CA77367"/>
    <w:multiLevelType w:val="hybridMultilevel"/>
    <w:tmpl w:val="075C96D2"/>
    <w:lvl w:ilvl="0" w:tplc="0410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7D3B04C4"/>
    <w:multiLevelType w:val="hybridMultilevel"/>
    <w:tmpl w:val="409C169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B72995"/>
    <w:multiLevelType w:val="hybridMultilevel"/>
    <w:tmpl w:val="D882A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423AE"/>
    <w:multiLevelType w:val="multilevel"/>
    <w:tmpl w:val="783E6776"/>
    <w:lvl w:ilvl="0">
      <w:start w:val="1"/>
      <w:numFmt w:val="decimal"/>
      <w:lvlText w:val="%1."/>
      <w:lvlJc w:val="left"/>
      <w:pPr>
        <w:tabs>
          <w:tab w:val="num" w:pos="567"/>
        </w:tabs>
        <w:ind w:left="1021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2155" w:hanging="1134"/>
      </w:pPr>
      <w:rPr>
        <w:rFonts w:hint="default"/>
        <w:b/>
        <w:i w:val="0"/>
        <w:color w:val="454545"/>
      </w:rPr>
    </w:lvl>
    <w:lvl w:ilvl="2">
      <w:start w:val="1"/>
      <w:numFmt w:val="decimal"/>
      <w:lvlText w:val="%1.%2.%3."/>
      <w:lvlJc w:val="left"/>
      <w:pPr>
        <w:ind w:left="3629" w:hanging="1474"/>
      </w:pPr>
      <w:rPr>
        <w:rFonts w:hint="default"/>
        <w:color w:val="454545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33"/>
  </w:num>
  <w:num w:numId="5">
    <w:abstractNumId w:val="29"/>
  </w:num>
  <w:num w:numId="6">
    <w:abstractNumId w:val="15"/>
  </w:num>
  <w:num w:numId="7">
    <w:abstractNumId w:val="16"/>
  </w:num>
  <w:num w:numId="8">
    <w:abstractNumId w:val="15"/>
  </w:num>
  <w:num w:numId="9">
    <w:abstractNumId w:val="20"/>
  </w:num>
  <w:num w:numId="10">
    <w:abstractNumId w:val="15"/>
  </w:num>
  <w:num w:numId="11">
    <w:abstractNumId w:val="15"/>
  </w:num>
  <w:num w:numId="12">
    <w:abstractNumId w:val="19"/>
  </w:num>
  <w:num w:numId="13">
    <w:abstractNumId w:val="1"/>
  </w:num>
  <w:num w:numId="14">
    <w:abstractNumId w:val="15"/>
  </w:num>
  <w:num w:numId="15">
    <w:abstractNumId w:val="28"/>
  </w:num>
  <w:num w:numId="16">
    <w:abstractNumId w:val="17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25"/>
  </w:num>
  <w:num w:numId="23">
    <w:abstractNumId w:val="15"/>
  </w:num>
  <w:num w:numId="24">
    <w:abstractNumId w:val="9"/>
  </w:num>
  <w:num w:numId="25">
    <w:abstractNumId w:val="15"/>
  </w:num>
  <w:num w:numId="26">
    <w:abstractNumId w:val="14"/>
  </w:num>
  <w:num w:numId="27">
    <w:abstractNumId w:val="21"/>
  </w:num>
  <w:num w:numId="28">
    <w:abstractNumId w:val="3"/>
  </w:num>
  <w:num w:numId="29">
    <w:abstractNumId w:val="2"/>
  </w:num>
  <w:num w:numId="30">
    <w:abstractNumId w:val="5"/>
  </w:num>
  <w:num w:numId="31">
    <w:abstractNumId w:val="8"/>
  </w:num>
  <w:num w:numId="32">
    <w:abstractNumId w:val="23"/>
  </w:num>
  <w:num w:numId="33">
    <w:abstractNumId w:val="27"/>
  </w:num>
  <w:num w:numId="34">
    <w:abstractNumId w:val="12"/>
  </w:num>
  <w:num w:numId="35">
    <w:abstractNumId w:val="32"/>
  </w:num>
  <w:num w:numId="36">
    <w:abstractNumId w:val="24"/>
  </w:num>
  <w:num w:numId="37">
    <w:abstractNumId w:val="11"/>
  </w:num>
  <w:num w:numId="38">
    <w:abstractNumId w:val="0"/>
  </w:num>
  <w:num w:numId="39">
    <w:abstractNumId w:val="22"/>
  </w:num>
  <w:num w:numId="40">
    <w:abstractNumId w:val="4"/>
  </w:num>
  <w:num w:numId="41">
    <w:abstractNumId w:val="26"/>
  </w:num>
  <w:num w:numId="42">
    <w:abstractNumId w:val="31"/>
  </w:num>
  <w:num w:numId="43">
    <w:abstractNumId w:val="6"/>
  </w:num>
  <w:num w:numId="44">
    <w:abstractNumId w:val="15"/>
  </w:num>
  <w:num w:numId="45">
    <w:abstractNumId w:val="15"/>
  </w:num>
  <w:num w:numId="46">
    <w:abstractNumId w:val="30"/>
  </w:num>
  <w:num w:numId="47">
    <w:abstractNumId w:val="18"/>
  </w:num>
  <w:num w:numId="48">
    <w:abstractNumId w:val="15"/>
  </w:num>
  <w:num w:numId="4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6F"/>
    <w:rsid w:val="00006B70"/>
    <w:rsid w:val="00007042"/>
    <w:rsid w:val="000106C9"/>
    <w:rsid w:val="00026ACC"/>
    <w:rsid w:val="00027221"/>
    <w:rsid w:val="00062205"/>
    <w:rsid w:val="000651CF"/>
    <w:rsid w:val="0007163D"/>
    <w:rsid w:val="0008467A"/>
    <w:rsid w:val="000865B8"/>
    <w:rsid w:val="000A460C"/>
    <w:rsid w:val="000C2377"/>
    <w:rsid w:val="000C519B"/>
    <w:rsid w:val="000D010E"/>
    <w:rsid w:val="000D58E0"/>
    <w:rsid w:val="000F0855"/>
    <w:rsid w:val="00100620"/>
    <w:rsid w:val="00105DAC"/>
    <w:rsid w:val="00130FE3"/>
    <w:rsid w:val="001311FC"/>
    <w:rsid w:val="001333E7"/>
    <w:rsid w:val="001413D0"/>
    <w:rsid w:val="0014540C"/>
    <w:rsid w:val="00156782"/>
    <w:rsid w:val="001645D8"/>
    <w:rsid w:val="00166DE2"/>
    <w:rsid w:val="00184F8D"/>
    <w:rsid w:val="00190CD3"/>
    <w:rsid w:val="00191D5E"/>
    <w:rsid w:val="001A770D"/>
    <w:rsid w:val="001B218A"/>
    <w:rsid w:val="001B2D6B"/>
    <w:rsid w:val="001B54C9"/>
    <w:rsid w:val="001C3023"/>
    <w:rsid w:val="001D15F3"/>
    <w:rsid w:val="001D1DA2"/>
    <w:rsid w:val="001D4683"/>
    <w:rsid w:val="001D5E0E"/>
    <w:rsid w:val="001D645C"/>
    <w:rsid w:val="001E3E61"/>
    <w:rsid w:val="001E7CD5"/>
    <w:rsid w:val="001F0142"/>
    <w:rsid w:val="002409E5"/>
    <w:rsid w:val="00253B54"/>
    <w:rsid w:val="00263A13"/>
    <w:rsid w:val="00271332"/>
    <w:rsid w:val="002835FA"/>
    <w:rsid w:val="00292EA7"/>
    <w:rsid w:val="002A079E"/>
    <w:rsid w:val="002A4D1F"/>
    <w:rsid w:val="002A7326"/>
    <w:rsid w:val="002B0178"/>
    <w:rsid w:val="002B1F54"/>
    <w:rsid w:val="002B261A"/>
    <w:rsid w:val="002B7F3E"/>
    <w:rsid w:val="002C50FE"/>
    <w:rsid w:val="002D6AA3"/>
    <w:rsid w:val="002E6105"/>
    <w:rsid w:val="002E73C7"/>
    <w:rsid w:val="002F110F"/>
    <w:rsid w:val="002F3435"/>
    <w:rsid w:val="002F6529"/>
    <w:rsid w:val="003074ED"/>
    <w:rsid w:val="003215ED"/>
    <w:rsid w:val="00325B5E"/>
    <w:rsid w:val="00333A22"/>
    <w:rsid w:val="0036466B"/>
    <w:rsid w:val="00366BA2"/>
    <w:rsid w:val="00380BD5"/>
    <w:rsid w:val="003B3115"/>
    <w:rsid w:val="003B68ED"/>
    <w:rsid w:val="003C1F90"/>
    <w:rsid w:val="003C78BC"/>
    <w:rsid w:val="003F00DF"/>
    <w:rsid w:val="003F4156"/>
    <w:rsid w:val="003F7675"/>
    <w:rsid w:val="00407819"/>
    <w:rsid w:val="004124A5"/>
    <w:rsid w:val="00443AAF"/>
    <w:rsid w:val="004508A3"/>
    <w:rsid w:val="004573FB"/>
    <w:rsid w:val="004708F9"/>
    <w:rsid w:val="00475E33"/>
    <w:rsid w:val="004771A0"/>
    <w:rsid w:val="00491BEE"/>
    <w:rsid w:val="004B0196"/>
    <w:rsid w:val="004B3EF1"/>
    <w:rsid w:val="004B4E52"/>
    <w:rsid w:val="004B769A"/>
    <w:rsid w:val="004C35F1"/>
    <w:rsid w:val="004D31BF"/>
    <w:rsid w:val="004E14DA"/>
    <w:rsid w:val="004E7E6F"/>
    <w:rsid w:val="004F6D64"/>
    <w:rsid w:val="00501B3B"/>
    <w:rsid w:val="0051432B"/>
    <w:rsid w:val="005361ED"/>
    <w:rsid w:val="0054073C"/>
    <w:rsid w:val="00551770"/>
    <w:rsid w:val="005567BB"/>
    <w:rsid w:val="0056310C"/>
    <w:rsid w:val="00580509"/>
    <w:rsid w:val="00584AC1"/>
    <w:rsid w:val="005871B8"/>
    <w:rsid w:val="0059742E"/>
    <w:rsid w:val="005A731A"/>
    <w:rsid w:val="005B1890"/>
    <w:rsid w:val="005B742E"/>
    <w:rsid w:val="005C65F5"/>
    <w:rsid w:val="005D1417"/>
    <w:rsid w:val="005E2713"/>
    <w:rsid w:val="006111D6"/>
    <w:rsid w:val="00613EB5"/>
    <w:rsid w:val="00625F08"/>
    <w:rsid w:val="00632A43"/>
    <w:rsid w:val="006428D5"/>
    <w:rsid w:val="006467B2"/>
    <w:rsid w:val="00653144"/>
    <w:rsid w:val="00653413"/>
    <w:rsid w:val="00683DF5"/>
    <w:rsid w:val="00684B31"/>
    <w:rsid w:val="0068673A"/>
    <w:rsid w:val="006A61C9"/>
    <w:rsid w:val="006A71CD"/>
    <w:rsid w:val="006E6A29"/>
    <w:rsid w:val="006F4372"/>
    <w:rsid w:val="00711DCD"/>
    <w:rsid w:val="00723CA1"/>
    <w:rsid w:val="0073621C"/>
    <w:rsid w:val="007473EE"/>
    <w:rsid w:val="00760614"/>
    <w:rsid w:val="00760DCF"/>
    <w:rsid w:val="00763BA9"/>
    <w:rsid w:val="00765181"/>
    <w:rsid w:val="0076797D"/>
    <w:rsid w:val="007701CD"/>
    <w:rsid w:val="00782198"/>
    <w:rsid w:val="007840AB"/>
    <w:rsid w:val="0079148C"/>
    <w:rsid w:val="007A17DE"/>
    <w:rsid w:val="007A7111"/>
    <w:rsid w:val="007B1E05"/>
    <w:rsid w:val="007B5931"/>
    <w:rsid w:val="007B694E"/>
    <w:rsid w:val="007C159A"/>
    <w:rsid w:val="007D1B61"/>
    <w:rsid w:val="007F5CE9"/>
    <w:rsid w:val="00803CD5"/>
    <w:rsid w:val="00823559"/>
    <w:rsid w:val="008346D5"/>
    <w:rsid w:val="008477E8"/>
    <w:rsid w:val="008549C3"/>
    <w:rsid w:val="0085566F"/>
    <w:rsid w:val="00867622"/>
    <w:rsid w:val="00872757"/>
    <w:rsid w:val="00891A9B"/>
    <w:rsid w:val="00895BCB"/>
    <w:rsid w:val="008B2F25"/>
    <w:rsid w:val="008D36C2"/>
    <w:rsid w:val="008F1D13"/>
    <w:rsid w:val="008F6296"/>
    <w:rsid w:val="0091221A"/>
    <w:rsid w:val="00927A5A"/>
    <w:rsid w:val="00945C09"/>
    <w:rsid w:val="00961F70"/>
    <w:rsid w:val="00964400"/>
    <w:rsid w:val="00977444"/>
    <w:rsid w:val="009A5CA5"/>
    <w:rsid w:val="009A6DDE"/>
    <w:rsid w:val="009F11B9"/>
    <w:rsid w:val="00A40FEA"/>
    <w:rsid w:val="00A40FFE"/>
    <w:rsid w:val="00A45872"/>
    <w:rsid w:val="00A674DA"/>
    <w:rsid w:val="00A80528"/>
    <w:rsid w:val="00A92F1D"/>
    <w:rsid w:val="00AA5ED8"/>
    <w:rsid w:val="00AD095F"/>
    <w:rsid w:val="00AD5A84"/>
    <w:rsid w:val="00AD7C13"/>
    <w:rsid w:val="00AF6E26"/>
    <w:rsid w:val="00B02006"/>
    <w:rsid w:val="00B12AF4"/>
    <w:rsid w:val="00B31289"/>
    <w:rsid w:val="00B42E3B"/>
    <w:rsid w:val="00B51F94"/>
    <w:rsid w:val="00B52811"/>
    <w:rsid w:val="00B604EB"/>
    <w:rsid w:val="00B769D5"/>
    <w:rsid w:val="00B7736D"/>
    <w:rsid w:val="00B8158B"/>
    <w:rsid w:val="00B86F12"/>
    <w:rsid w:val="00B9106E"/>
    <w:rsid w:val="00BA4652"/>
    <w:rsid w:val="00BA6F5A"/>
    <w:rsid w:val="00BB0381"/>
    <w:rsid w:val="00BD0C61"/>
    <w:rsid w:val="00BD5FB0"/>
    <w:rsid w:val="00BE5DD1"/>
    <w:rsid w:val="00BF3010"/>
    <w:rsid w:val="00C03209"/>
    <w:rsid w:val="00C312FF"/>
    <w:rsid w:val="00C524F5"/>
    <w:rsid w:val="00C569E5"/>
    <w:rsid w:val="00C64602"/>
    <w:rsid w:val="00C72785"/>
    <w:rsid w:val="00C755FE"/>
    <w:rsid w:val="00C7663F"/>
    <w:rsid w:val="00C877BF"/>
    <w:rsid w:val="00C90158"/>
    <w:rsid w:val="00C92264"/>
    <w:rsid w:val="00CA5018"/>
    <w:rsid w:val="00CB555A"/>
    <w:rsid w:val="00CC01F0"/>
    <w:rsid w:val="00CF10F0"/>
    <w:rsid w:val="00CF3EE3"/>
    <w:rsid w:val="00CF55D5"/>
    <w:rsid w:val="00D128E2"/>
    <w:rsid w:val="00D17337"/>
    <w:rsid w:val="00D22DE2"/>
    <w:rsid w:val="00D3667E"/>
    <w:rsid w:val="00D56E14"/>
    <w:rsid w:val="00D80047"/>
    <w:rsid w:val="00D83DD6"/>
    <w:rsid w:val="00D93290"/>
    <w:rsid w:val="00DA2FDF"/>
    <w:rsid w:val="00DA4747"/>
    <w:rsid w:val="00DC695B"/>
    <w:rsid w:val="00DC70E2"/>
    <w:rsid w:val="00DC7354"/>
    <w:rsid w:val="00DE013E"/>
    <w:rsid w:val="00DE122F"/>
    <w:rsid w:val="00DE5352"/>
    <w:rsid w:val="00DF4611"/>
    <w:rsid w:val="00DF4911"/>
    <w:rsid w:val="00E07882"/>
    <w:rsid w:val="00E079A1"/>
    <w:rsid w:val="00E07EC1"/>
    <w:rsid w:val="00E131E3"/>
    <w:rsid w:val="00E468D7"/>
    <w:rsid w:val="00E47280"/>
    <w:rsid w:val="00E51A7E"/>
    <w:rsid w:val="00E6338A"/>
    <w:rsid w:val="00EB3CD3"/>
    <w:rsid w:val="00ED5508"/>
    <w:rsid w:val="00EE45E9"/>
    <w:rsid w:val="00EE52A4"/>
    <w:rsid w:val="00EE6E8D"/>
    <w:rsid w:val="00EF1632"/>
    <w:rsid w:val="00EF7FC6"/>
    <w:rsid w:val="00F01FB1"/>
    <w:rsid w:val="00F02DA3"/>
    <w:rsid w:val="00F049FD"/>
    <w:rsid w:val="00F04F40"/>
    <w:rsid w:val="00F15B4D"/>
    <w:rsid w:val="00F22EFA"/>
    <w:rsid w:val="00F232D5"/>
    <w:rsid w:val="00F23F77"/>
    <w:rsid w:val="00F31E54"/>
    <w:rsid w:val="00F47220"/>
    <w:rsid w:val="00F635D3"/>
    <w:rsid w:val="00FA1DEB"/>
    <w:rsid w:val="00FB13E9"/>
    <w:rsid w:val="00FC6745"/>
    <w:rsid w:val="00FD19F9"/>
    <w:rsid w:val="00FD7992"/>
    <w:rsid w:val="00FE7163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7F207759"/>
  <w15:docId w15:val="{693E5938-9D50-4421-AD11-EC270CA1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="Arial"/>
        <w:color w:val="454545" w:themeColor="text1"/>
        <w:sz w:val="22"/>
        <w:szCs w:val="21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5E9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07819"/>
    <w:pPr>
      <w:spacing w:before="240"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07819"/>
    <w:pPr>
      <w:spacing w:before="240" w:after="120" w:line="240" w:lineRule="auto"/>
      <w:mirrorIndents/>
      <w:outlineLvl w:val="1"/>
    </w:pPr>
    <w:rPr>
      <w:b/>
      <w:caps/>
      <w:color w:val="45454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07819"/>
    <w:pPr>
      <w:spacing w:before="240" w:after="120" w:line="240" w:lineRule="auto"/>
      <w:mirrorIndents/>
      <w:outlineLvl w:val="2"/>
    </w:pPr>
    <w:rPr>
      <w:b/>
      <w:caps/>
      <w:color w:val="45454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07819"/>
    <w:pPr>
      <w:spacing w:before="240"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07819"/>
    <w:pPr>
      <w:spacing w:before="240"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07819"/>
    <w:pPr>
      <w:spacing w:before="240" w:after="120" w:line="240" w:lineRule="auto"/>
      <w:mirrorIndents/>
      <w:outlineLvl w:val="5"/>
    </w:pPr>
    <w:rPr>
      <w:i/>
      <w:color w:val="454545"/>
      <w:szCs w:val="3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07819"/>
    <w:pPr>
      <w:keepNext/>
      <w:keepLines/>
      <w:spacing w:before="240" w:after="120"/>
      <w:outlineLvl w:val="6"/>
    </w:pPr>
    <w:rPr>
      <w:rFonts w:eastAsiaTheme="majorEastAsia" w:cstheme="majorBidi"/>
      <w:b/>
      <w:i/>
      <w:iCs/>
      <w:color w:val="454545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1311FC"/>
    <w:pPr>
      <w:pBdr>
        <w:top w:val="single" w:sz="6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  <w:jc w:val="center"/>
    </w:pPr>
    <w:rPr>
      <w:b/>
      <w:caps/>
      <w:color w:val="454545"/>
      <w:sz w:val="16"/>
      <w:szCs w:val="1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1FC"/>
    <w:rPr>
      <w:b/>
      <w:caps/>
      <w:color w:val="454545"/>
      <w:sz w:val="16"/>
      <w:szCs w:val="11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AD095F"/>
    <w:pPr>
      <w:numPr>
        <w:numId w:val="1"/>
      </w:numPr>
      <w:contextualSpacing/>
    </w:p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07819"/>
    <w:rPr>
      <w:rFonts w:eastAsiaTheme="majorEastAsia" w:cstheme="majorBidi"/>
      <w:b/>
      <w:i/>
      <w:iCs/>
      <w:color w:val="454545"/>
      <w:sz w:val="18"/>
      <w:shd w:val="clear" w:color="auto" w:fill="FFFFFF"/>
    </w:rPr>
  </w:style>
  <w:style w:type="paragraph" w:customStyle="1" w:styleId="Titolodocumento">
    <w:name w:val="Titolo documento"/>
    <w:basedOn w:val="Titolo1"/>
    <w:qFormat/>
    <w:rsid w:val="00DA2FDF"/>
    <w:pPr>
      <w:framePr w:vSpace="4536" w:wrap="around" w:vAnchor="page" w:hAnchor="margin" w:xAlign="center" w:yAlign="center"/>
      <w:spacing w:after="100" w:afterAutospacing="1"/>
      <w:jc w:val="center"/>
    </w:pPr>
    <w:rPr>
      <w:sz w:val="7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07819"/>
    <w:rPr>
      <w:b/>
      <w:i/>
      <w:color w:val="454545"/>
      <w:szCs w:val="36"/>
      <w:shd w:val="clear" w:color="auto" w:fill="FFFFF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07819"/>
    <w:rPr>
      <w:i/>
      <w:color w:val="454545"/>
      <w:szCs w:val="36"/>
      <w:shd w:val="clear" w:color="auto" w:fill="FFFFFF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454545" w:themeColor="text1"/>
      <w:u w:val="single"/>
    </w:rPr>
  </w:style>
  <w:style w:type="paragraph" w:customStyle="1" w:styleId="Note">
    <w:name w:val="Note"/>
    <w:basedOn w:val="Normale"/>
    <w:qFormat/>
    <w:rsid w:val="00407819"/>
    <w:pPr>
      <w:spacing w:before="480" w:after="0" w:line="240" w:lineRule="auto"/>
      <w:mirrorIndents/>
    </w:pPr>
    <w:rPr>
      <w:i/>
      <w:color w:val="454545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819"/>
    <w:rPr>
      <w:b/>
      <w:color w:val="454545"/>
      <w:sz w:val="32"/>
      <w:szCs w:val="36"/>
      <w:shd w:val="clear" w:color="auto" w:fill="FFFFF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7819"/>
    <w:rPr>
      <w:b/>
      <w:caps/>
      <w:color w:val="454545"/>
      <w:sz w:val="28"/>
      <w:szCs w:val="28"/>
      <w:shd w:val="clear" w:color="auto" w:fill="FFFFF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7819"/>
    <w:rPr>
      <w:b/>
      <w:caps/>
      <w:color w:val="454545"/>
      <w:sz w:val="24"/>
      <w:szCs w:val="24"/>
      <w:shd w:val="clear" w:color="auto" w:fill="FFFFF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07819"/>
    <w:rPr>
      <w:b/>
      <w:color w:val="454545"/>
      <w:szCs w:val="36"/>
      <w:shd w:val="clear" w:color="auto" w:fill="FFFFFF"/>
    </w:rPr>
  </w:style>
  <w:style w:type="paragraph" w:customStyle="1" w:styleId="Approvazione-data">
    <w:name w:val="Approvazione - data"/>
    <w:basedOn w:val="Titolodocumento"/>
    <w:qFormat/>
    <w:rsid w:val="00A40FFE"/>
    <w:pPr>
      <w:framePr w:wrap="around" w:vAnchor="margin" w:hAnchor="text" w:xAlign="right" w:yAlign="bottom"/>
      <w:jc w:val="right"/>
    </w:pPr>
    <w:rPr>
      <w:sz w:val="24"/>
      <w:szCs w:val="28"/>
    </w:rPr>
  </w:style>
  <w:style w:type="numbering" w:customStyle="1" w:styleId="Stile1">
    <w:name w:val="Stile1"/>
    <w:uiPriority w:val="99"/>
    <w:rsid w:val="001311FC"/>
    <w:pPr>
      <w:numPr>
        <w:numId w:val="3"/>
      </w:numPr>
    </w:pPr>
  </w:style>
  <w:style w:type="character" w:styleId="Numeropagina">
    <w:name w:val="page number"/>
    <w:basedOn w:val="Carpredefinitoparagrafo"/>
    <w:uiPriority w:val="99"/>
    <w:semiHidden/>
    <w:unhideWhenUsed/>
    <w:rsid w:val="009A6DDE"/>
  </w:style>
  <w:style w:type="paragraph" w:styleId="Titolosommario">
    <w:name w:val="TOC Heading"/>
    <w:basedOn w:val="Titolo1"/>
    <w:next w:val="Normale"/>
    <w:uiPriority w:val="39"/>
    <w:unhideWhenUsed/>
    <w:qFormat/>
    <w:rsid w:val="00407819"/>
    <w:pPr>
      <w:keepNext/>
      <w:keepLines/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 w:after="0" w:line="276" w:lineRule="auto"/>
      <w:mirrorIndents w:val="0"/>
      <w:jc w:val="left"/>
      <w:outlineLvl w:val="9"/>
    </w:pPr>
    <w:rPr>
      <w:rFonts w:eastAsiaTheme="majorEastAsia" w:cs="Times New Roman (Titoli CS)"/>
      <w:bCs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CC01F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120"/>
      <w:jc w:val="left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1B2D6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20" w:after="0"/>
      <w:ind w:left="708"/>
      <w:jc w:val="left"/>
    </w:pPr>
    <w:rPr>
      <w:b/>
      <w:iCs/>
      <w:sz w:val="18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1B2D6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  <w:ind w:left="1416"/>
      <w:jc w:val="left"/>
    </w:pPr>
    <w:rPr>
      <w:sz w:val="1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311FC"/>
    <w:rPr>
      <w:b/>
      <w:color w:val="004F60"/>
      <w:u w:val="single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1311F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1311F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1311F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1311F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1311F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1311F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40FFE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FFE"/>
    <w:rPr>
      <w:shd w:val="clear" w:color="auto" w:fill="FFFFFF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E7163"/>
    <w:rPr>
      <w:shd w:val="clear" w:color="auto" w:fill="FFFFFF"/>
    </w:rPr>
  </w:style>
  <w:style w:type="paragraph" w:customStyle="1" w:styleId="Default">
    <w:name w:val="Default"/>
    <w:rsid w:val="003646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sz w:val="24"/>
      <w:szCs w:val="24"/>
    </w:rPr>
  </w:style>
  <w:style w:type="paragraph" w:customStyle="1" w:styleId="Bullet1">
    <w:name w:val="Bullet1"/>
    <w:basedOn w:val="Normale"/>
    <w:qFormat/>
    <w:rsid w:val="0036466B"/>
    <w:pPr>
      <w:numPr>
        <w:numId w:val="12"/>
      </w:num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</w:pPr>
    <w:rPr>
      <w:rFonts w:ascii="Arial" w:eastAsia="Calibri" w:hAnsi="Arial"/>
      <w:color w:val="auto"/>
      <w:sz w:val="21"/>
      <w:lang w:eastAsia="en-US"/>
    </w:rPr>
  </w:style>
  <w:style w:type="paragraph" w:customStyle="1" w:styleId="Bullet1new">
    <w:name w:val="Bullet1new"/>
    <w:basedOn w:val="Bullet1"/>
    <w:link w:val="Bullet1newChar"/>
    <w:qFormat/>
    <w:rsid w:val="0036466B"/>
  </w:style>
  <w:style w:type="character" w:customStyle="1" w:styleId="Bullet1newChar">
    <w:name w:val="Bullet1new Char"/>
    <w:basedOn w:val="Carpredefinitoparagrafo"/>
    <w:link w:val="Bullet1new"/>
    <w:rsid w:val="0036466B"/>
    <w:rPr>
      <w:rFonts w:ascii="Arial" w:eastAsia="Calibri" w:hAnsi="Arial"/>
      <w:color w:val="auto"/>
      <w:sz w:val="21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78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7882"/>
    <w:rPr>
      <w:sz w:val="20"/>
      <w:szCs w:val="20"/>
      <w:shd w:val="clear" w:color="auto" w:fill="FFFFFF"/>
    </w:rPr>
  </w:style>
  <w:style w:type="character" w:styleId="Rimandonotaapidipagina">
    <w:name w:val="footnote reference"/>
    <w:basedOn w:val="Carpredefinitoparagrafo"/>
    <w:unhideWhenUsed/>
    <w:rsid w:val="00E07882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713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7133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71332"/>
    <w:rPr>
      <w:sz w:val="20"/>
      <w:szCs w:val="20"/>
      <w:shd w:val="clear" w:color="auto" w:fill="FFFFFF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13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1332"/>
    <w:rPr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898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c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CB">
  <a:themeElements>
    <a:clrScheme name="CCB">
      <a:dk1>
        <a:srgbClr val="454545"/>
      </a:dk1>
      <a:lt1>
        <a:srgbClr val="FFFFFF"/>
      </a:lt1>
      <a:dk2>
        <a:srgbClr val="005366"/>
      </a:dk2>
      <a:lt2>
        <a:srgbClr val="FFBA3A"/>
      </a:lt2>
      <a:accent1>
        <a:srgbClr val="005366"/>
      </a:accent1>
      <a:accent2>
        <a:srgbClr val="004453"/>
      </a:accent2>
      <a:accent3>
        <a:srgbClr val="0D8AA7"/>
      </a:accent3>
      <a:accent4>
        <a:srgbClr val="FFB93A"/>
      </a:accent4>
      <a:accent5>
        <a:srgbClr val="DBAA47"/>
      </a:accent5>
      <a:accent6>
        <a:srgbClr val="FFCD73"/>
      </a:accent6>
      <a:hlink>
        <a:srgbClr val="005366"/>
      </a:hlink>
      <a:folHlink>
        <a:srgbClr val="FFBA3A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CB" id="{323F3147-DBD9-6747-A659-3DDE4605325A}" vid="{DAFF2D05-981E-E749-A88E-B0DBC9EFC35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B258-4911-41B2-851D-F57B713B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9B4013A0.dotm</Template>
  <TotalTime>56</TotalTime>
  <Pages>9</Pages>
  <Words>2362</Words>
  <Characters>13468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Cassa Centrale Banca</Company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Lorenzo Di Girolamo</cp:lastModifiedBy>
  <cp:revision>6</cp:revision>
  <cp:lastPrinted>2019-01-07T08:52:00Z</cp:lastPrinted>
  <dcterms:created xsi:type="dcterms:W3CDTF">2020-05-14T09:52:00Z</dcterms:created>
  <dcterms:modified xsi:type="dcterms:W3CDTF">2020-05-14T13:33:00Z</dcterms:modified>
</cp:coreProperties>
</file>